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50891" w14:textId="798DCB03" w:rsidR="00C05D4E" w:rsidRPr="00E55335" w:rsidRDefault="00C05D4E" w:rsidP="00CC170F">
      <w:pPr>
        <w:jc w:val="center"/>
        <w:rPr>
          <w:rFonts w:ascii="Cambria" w:hAnsi="Cambria"/>
          <w:b/>
          <w:bCs/>
          <w:color w:val="171717" w:themeColor="background2" w:themeShade="1A"/>
        </w:rPr>
      </w:pPr>
      <w:r w:rsidRPr="00E55335">
        <w:rPr>
          <w:rFonts w:ascii="Cambria" w:hAnsi="Cambria"/>
          <w:b/>
          <w:bCs/>
          <w:color w:val="171717" w:themeColor="background2" w:themeShade="1A"/>
        </w:rPr>
        <w:t xml:space="preserve">MiPAC </w:t>
      </w:r>
      <w:r w:rsidR="00E132C0">
        <w:rPr>
          <w:rFonts w:ascii="Cambria" w:hAnsi="Cambria"/>
          <w:b/>
          <w:bCs/>
          <w:color w:val="171717" w:themeColor="background2" w:themeShade="1A"/>
        </w:rPr>
        <w:t>Cohorts II</w:t>
      </w:r>
      <w:r w:rsidR="00A364AB">
        <w:rPr>
          <w:rFonts w:ascii="Cambria" w:hAnsi="Cambria"/>
          <w:b/>
          <w:bCs/>
          <w:color w:val="171717" w:themeColor="background2" w:themeShade="1A"/>
        </w:rPr>
        <w:t>,</w:t>
      </w:r>
      <w:r w:rsidR="00E132C0">
        <w:rPr>
          <w:rFonts w:ascii="Cambria" w:hAnsi="Cambria"/>
          <w:b/>
          <w:bCs/>
          <w:color w:val="171717" w:themeColor="background2" w:themeShade="1A"/>
        </w:rPr>
        <w:t xml:space="preserve"> III</w:t>
      </w:r>
      <w:r w:rsidR="00A364AB">
        <w:rPr>
          <w:rFonts w:ascii="Cambria" w:hAnsi="Cambria"/>
          <w:b/>
          <w:bCs/>
          <w:color w:val="171717" w:themeColor="background2" w:themeShade="1A"/>
        </w:rPr>
        <w:t>, IV</w:t>
      </w:r>
      <w:r w:rsidR="00411757">
        <w:rPr>
          <w:rFonts w:ascii="Cambria" w:hAnsi="Cambria"/>
          <w:b/>
          <w:bCs/>
          <w:color w:val="171717" w:themeColor="background2" w:themeShade="1A"/>
        </w:rPr>
        <w:t>, V</w:t>
      </w:r>
      <w:r w:rsidR="00E132C0">
        <w:rPr>
          <w:rFonts w:ascii="Cambria" w:hAnsi="Cambria"/>
          <w:b/>
          <w:bCs/>
          <w:color w:val="171717" w:themeColor="background2" w:themeShade="1A"/>
        </w:rPr>
        <w:t xml:space="preserve"> Exit Survey Comparison</w:t>
      </w:r>
    </w:p>
    <w:p w14:paraId="7A322504" w14:textId="445394EC" w:rsidR="00C05D4E" w:rsidRPr="00983366" w:rsidRDefault="00C05D4E">
      <w:pPr>
        <w:rPr>
          <w:rFonts w:ascii="Cambria" w:hAnsi="Cambria"/>
          <w:color w:val="171717" w:themeColor="background2" w:themeShade="1A"/>
          <w:sz w:val="16"/>
          <w:szCs w:val="16"/>
        </w:rPr>
      </w:pPr>
    </w:p>
    <w:p w14:paraId="28376546" w14:textId="77777777" w:rsidR="00001D3E" w:rsidRDefault="00001D3E" w:rsidP="00983366">
      <w:pPr>
        <w:rPr>
          <w:rFonts w:ascii="Cambria" w:hAnsi="Cambria"/>
          <w:color w:val="171717" w:themeColor="background2" w:themeShade="1A"/>
        </w:rPr>
      </w:pPr>
    </w:p>
    <w:p w14:paraId="29549FB4" w14:textId="38B54331" w:rsidR="00117D2D" w:rsidRDefault="00001D3E" w:rsidP="00983366">
      <w:pPr>
        <w:rPr>
          <w:rFonts w:ascii="Cambria" w:hAnsi="Cambria"/>
          <w:color w:val="171717" w:themeColor="background2" w:themeShade="1A"/>
        </w:rPr>
      </w:pPr>
      <w:r>
        <w:rPr>
          <w:rFonts w:ascii="Cambria" w:hAnsi="Cambria"/>
          <w:color w:val="171717" w:themeColor="background2" w:themeShade="1A"/>
        </w:rPr>
        <w:t>The Michigan Performance Assessment Cadre (MiPAC) is a professional learning program designed to assist educators in creating, administering, scoring, and using assessment results to improve student learning consistent with the principles of competency-based principles. The MiPAC experience includes professional learning sessions, direct assistance with developing performance assessments, and practical guidance on administering, scoring, and using assessment results. This report summarizes MiPAC participant experiences across four Cohorts, including</w:t>
      </w:r>
      <w:r w:rsidR="00117D2D">
        <w:rPr>
          <w:rFonts w:ascii="Cambria" w:hAnsi="Cambria"/>
          <w:color w:val="171717" w:themeColor="background2" w:themeShade="1A"/>
        </w:rPr>
        <w:t>:</w:t>
      </w:r>
    </w:p>
    <w:p w14:paraId="7CE3DA06" w14:textId="05E32EFC" w:rsidR="00117D2D" w:rsidRPr="00BF5C57" w:rsidRDefault="00E132C0" w:rsidP="00BF5C57">
      <w:pPr>
        <w:pStyle w:val="ListParagraph"/>
        <w:numPr>
          <w:ilvl w:val="0"/>
          <w:numId w:val="11"/>
        </w:numPr>
        <w:rPr>
          <w:rFonts w:ascii="Cambria" w:hAnsi="Cambria"/>
          <w:color w:val="171717" w:themeColor="background2" w:themeShade="1A"/>
        </w:rPr>
      </w:pPr>
      <w:r w:rsidRPr="00BF5C57">
        <w:rPr>
          <w:rFonts w:ascii="Cambria" w:hAnsi="Cambria"/>
          <w:color w:val="171717" w:themeColor="background2" w:themeShade="1A"/>
        </w:rPr>
        <w:t>MiPAC Cohort II exit survey (administered in spring 2022)</w:t>
      </w:r>
    </w:p>
    <w:p w14:paraId="632053A8" w14:textId="767B48D6" w:rsidR="00117D2D" w:rsidRPr="00BF5C57" w:rsidRDefault="00E132C0" w:rsidP="00BF5C57">
      <w:pPr>
        <w:pStyle w:val="ListParagraph"/>
        <w:numPr>
          <w:ilvl w:val="0"/>
          <w:numId w:val="11"/>
        </w:numPr>
        <w:rPr>
          <w:rFonts w:ascii="Cambria" w:hAnsi="Cambria"/>
          <w:color w:val="171717" w:themeColor="background2" w:themeShade="1A"/>
        </w:rPr>
      </w:pPr>
      <w:r w:rsidRPr="00BF5C57">
        <w:rPr>
          <w:rFonts w:ascii="Cambria" w:hAnsi="Cambria"/>
          <w:color w:val="171717" w:themeColor="background2" w:themeShade="1A"/>
        </w:rPr>
        <w:t>MiPAC Cohort III exit survey (administered in spring 2023</w:t>
      </w:r>
      <w:r w:rsidR="00117D2D" w:rsidRPr="00BF5C57">
        <w:rPr>
          <w:rFonts w:ascii="Cambria" w:hAnsi="Cambria"/>
          <w:color w:val="171717" w:themeColor="background2" w:themeShade="1A"/>
        </w:rPr>
        <w:t>)</w:t>
      </w:r>
    </w:p>
    <w:p w14:paraId="3B704829" w14:textId="6855AB79" w:rsidR="00117D2D" w:rsidRDefault="00117D2D" w:rsidP="00BF5C57">
      <w:pPr>
        <w:pStyle w:val="ListParagraph"/>
        <w:numPr>
          <w:ilvl w:val="0"/>
          <w:numId w:val="11"/>
        </w:numPr>
        <w:rPr>
          <w:rFonts w:ascii="Cambria" w:hAnsi="Cambria"/>
          <w:color w:val="171717" w:themeColor="background2" w:themeShade="1A"/>
        </w:rPr>
      </w:pPr>
      <w:r w:rsidRPr="00BF5C57">
        <w:rPr>
          <w:rFonts w:ascii="Cambria" w:hAnsi="Cambria"/>
          <w:color w:val="171717" w:themeColor="background2" w:themeShade="1A"/>
        </w:rPr>
        <w:t>MiPAC Cohort IV exit survey (administered in spring 202</w:t>
      </w:r>
      <w:r w:rsidR="009F7EBE">
        <w:rPr>
          <w:rFonts w:ascii="Cambria" w:hAnsi="Cambria"/>
          <w:color w:val="171717" w:themeColor="background2" w:themeShade="1A"/>
        </w:rPr>
        <w:t>4</w:t>
      </w:r>
      <w:r w:rsidRPr="00BF5C57">
        <w:rPr>
          <w:rFonts w:ascii="Cambria" w:hAnsi="Cambria"/>
          <w:color w:val="171717" w:themeColor="background2" w:themeShade="1A"/>
        </w:rPr>
        <w:t>)</w:t>
      </w:r>
    </w:p>
    <w:p w14:paraId="1B3BE878" w14:textId="08FCC407" w:rsidR="00411757" w:rsidRPr="00BF5C57" w:rsidRDefault="00411757" w:rsidP="00BF5C57">
      <w:pPr>
        <w:pStyle w:val="ListParagraph"/>
        <w:numPr>
          <w:ilvl w:val="0"/>
          <w:numId w:val="11"/>
        </w:numPr>
        <w:rPr>
          <w:rFonts w:ascii="Cambria" w:hAnsi="Cambria"/>
          <w:color w:val="171717" w:themeColor="background2" w:themeShade="1A"/>
        </w:rPr>
      </w:pPr>
      <w:r>
        <w:rPr>
          <w:rFonts w:ascii="Cambria" w:hAnsi="Cambria"/>
          <w:color w:val="171717" w:themeColor="background2" w:themeShade="1A"/>
        </w:rPr>
        <w:t>MiPAC Cohort IV exit survey (administered in spring 2025)</w:t>
      </w:r>
    </w:p>
    <w:p w14:paraId="4EE57FE8" w14:textId="520992AA" w:rsidR="00894F04" w:rsidRDefault="00894F04" w:rsidP="00983366">
      <w:pPr>
        <w:rPr>
          <w:rFonts w:ascii="Cambria" w:hAnsi="Cambria"/>
          <w:color w:val="171717" w:themeColor="background2" w:themeShade="1A"/>
        </w:rPr>
      </w:pPr>
      <w:r>
        <w:rPr>
          <w:rFonts w:ascii="Cambria" w:hAnsi="Cambria"/>
          <w:color w:val="171717" w:themeColor="background2" w:themeShade="1A"/>
        </w:rPr>
        <w:t>The Cohort members range in their experience with the MiPAC program. Two participants ha</w:t>
      </w:r>
      <w:r w:rsidR="008E03DC">
        <w:rPr>
          <w:rFonts w:ascii="Cambria" w:hAnsi="Cambria"/>
          <w:color w:val="171717" w:themeColor="background2" w:themeShade="1A"/>
        </w:rPr>
        <w:t>ve</w:t>
      </w:r>
      <w:r>
        <w:rPr>
          <w:rFonts w:ascii="Cambria" w:hAnsi="Cambria"/>
          <w:color w:val="171717" w:themeColor="background2" w:themeShade="1A"/>
        </w:rPr>
        <w:t xml:space="preserve"> been with the MiPAC program for all </w:t>
      </w:r>
      <w:r w:rsidR="00196BD5">
        <w:rPr>
          <w:rFonts w:ascii="Cambria" w:hAnsi="Cambria"/>
          <w:color w:val="171717" w:themeColor="background2" w:themeShade="1A"/>
        </w:rPr>
        <w:t>five</w:t>
      </w:r>
      <w:r>
        <w:rPr>
          <w:rFonts w:ascii="Cambria" w:hAnsi="Cambria"/>
          <w:color w:val="171717" w:themeColor="background2" w:themeShade="1A"/>
        </w:rPr>
        <w:t xml:space="preserve"> years. Two had </w:t>
      </w:r>
      <w:r w:rsidR="00196BD5">
        <w:rPr>
          <w:rFonts w:ascii="Cambria" w:hAnsi="Cambria"/>
          <w:color w:val="171717" w:themeColor="background2" w:themeShade="1A"/>
        </w:rPr>
        <w:t>four</w:t>
      </w:r>
      <w:r>
        <w:rPr>
          <w:rFonts w:ascii="Cambria" w:hAnsi="Cambria"/>
          <w:color w:val="171717" w:themeColor="background2" w:themeShade="1A"/>
        </w:rPr>
        <w:t xml:space="preserve"> years of experience and two had </w:t>
      </w:r>
      <w:r w:rsidR="00196BD5">
        <w:rPr>
          <w:rFonts w:ascii="Cambria" w:hAnsi="Cambria"/>
          <w:color w:val="171717" w:themeColor="background2" w:themeShade="1A"/>
        </w:rPr>
        <w:t>three</w:t>
      </w:r>
      <w:r>
        <w:rPr>
          <w:rFonts w:ascii="Cambria" w:hAnsi="Cambria"/>
          <w:color w:val="171717" w:themeColor="background2" w:themeShade="1A"/>
        </w:rPr>
        <w:t xml:space="preserve"> years of experience. Most participants had 1-3 years of experience with the program, with </w:t>
      </w:r>
      <w:r w:rsidR="00196BD5">
        <w:rPr>
          <w:rFonts w:ascii="Cambria" w:hAnsi="Cambria"/>
          <w:color w:val="171717" w:themeColor="background2" w:themeShade="1A"/>
        </w:rPr>
        <w:t>one</w:t>
      </w:r>
      <w:r>
        <w:rPr>
          <w:rFonts w:ascii="Cambria" w:hAnsi="Cambria"/>
          <w:color w:val="171717" w:themeColor="background2" w:themeShade="1A"/>
        </w:rPr>
        <w:t xml:space="preserve"> year (</w:t>
      </w:r>
      <w:r w:rsidR="00196BD5">
        <w:rPr>
          <w:rFonts w:ascii="Cambria" w:hAnsi="Cambria"/>
          <w:color w:val="171717" w:themeColor="background2" w:themeShade="1A"/>
        </w:rPr>
        <w:t>7</w:t>
      </w:r>
      <w:r>
        <w:rPr>
          <w:rFonts w:ascii="Cambria" w:hAnsi="Cambria"/>
          <w:color w:val="171717" w:themeColor="background2" w:themeShade="1A"/>
        </w:rPr>
        <w:t xml:space="preserve"> participants) being the most common, followed by t</w:t>
      </w:r>
      <w:r w:rsidR="00196BD5">
        <w:rPr>
          <w:rFonts w:ascii="Cambria" w:hAnsi="Cambria"/>
          <w:color w:val="171717" w:themeColor="background2" w:themeShade="1A"/>
        </w:rPr>
        <w:t>wo</w:t>
      </w:r>
      <w:r>
        <w:rPr>
          <w:rFonts w:ascii="Cambria" w:hAnsi="Cambria"/>
          <w:color w:val="171717" w:themeColor="background2" w:themeShade="1A"/>
        </w:rPr>
        <w:t xml:space="preserve"> years (5 participants) and one year (</w:t>
      </w:r>
      <w:r w:rsidR="00196BD5">
        <w:rPr>
          <w:rFonts w:ascii="Cambria" w:hAnsi="Cambria"/>
          <w:color w:val="171717" w:themeColor="background2" w:themeShade="1A"/>
        </w:rPr>
        <w:t>2</w:t>
      </w:r>
      <w:r>
        <w:rPr>
          <w:rFonts w:ascii="Cambria" w:hAnsi="Cambria"/>
          <w:color w:val="171717" w:themeColor="background2" w:themeShade="1A"/>
        </w:rPr>
        <w:t xml:space="preserve"> participants). As would be expected, middle school English Language Arts educators had the least experience with the program and Math 3-5 educators had the most. This information is presented in Table 1. </w:t>
      </w:r>
      <w:r w:rsidR="008E03DC">
        <w:rPr>
          <w:rFonts w:ascii="Cambria" w:hAnsi="Cambria"/>
          <w:color w:val="171717" w:themeColor="background2" w:themeShade="1A"/>
        </w:rPr>
        <w:t>Note that ELA grades 9-12 was new for Cohort V</w:t>
      </w:r>
      <w:r w:rsidR="00B05A53">
        <w:rPr>
          <w:rFonts w:ascii="Cambria" w:hAnsi="Cambria"/>
          <w:color w:val="171717" w:themeColor="background2" w:themeShade="1A"/>
        </w:rPr>
        <w:t>.</w:t>
      </w:r>
    </w:p>
    <w:p w14:paraId="2D8FFD13" w14:textId="77777777" w:rsidR="00894F04" w:rsidRDefault="00894F04" w:rsidP="00983366">
      <w:pPr>
        <w:rPr>
          <w:rFonts w:ascii="Cambria" w:hAnsi="Cambria"/>
          <w:color w:val="171717" w:themeColor="background2" w:themeShade="1A"/>
        </w:rPr>
      </w:pPr>
    </w:p>
    <w:p w14:paraId="1E529B1A" w14:textId="01932E41" w:rsidR="00894F04" w:rsidRPr="00894F04" w:rsidRDefault="00894F04" w:rsidP="00983366">
      <w:pPr>
        <w:rPr>
          <w:rFonts w:ascii="Cambria" w:hAnsi="Cambria"/>
          <w:b/>
          <w:bCs/>
          <w:color w:val="171717" w:themeColor="background2" w:themeShade="1A"/>
        </w:rPr>
      </w:pPr>
      <w:r w:rsidRPr="00894F04">
        <w:rPr>
          <w:rFonts w:ascii="Cambria" w:hAnsi="Cambria"/>
          <w:b/>
          <w:bCs/>
          <w:color w:val="171717" w:themeColor="background2" w:themeShade="1A"/>
        </w:rPr>
        <w:t>Table 1. Participant Experience by Subject and Grade Level</w:t>
      </w:r>
    </w:p>
    <w:tbl>
      <w:tblPr>
        <w:tblStyle w:val="TableGrid"/>
        <w:tblW w:w="9895" w:type="dxa"/>
        <w:tblLook w:val="04A0" w:firstRow="1" w:lastRow="0" w:firstColumn="1" w:lastColumn="0" w:noHBand="0" w:noVBand="1"/>
      </w:tblPr>
      <w:tblGrid>
        <w:gridCol w:w="1812"/>
        <w:gridCol w:w="1616"/>
        <w:gridCol w:w="1617"/>
        <w:gridCol w:w="1616"/>
        <w:gridCol w:w="1617"/>
        <w:gridCol w:w="1617"/>
      </w:tblGrid>
      <w:tr w:rsidR="00B05A53" w:rsidRPr="00495361" w14:paraId="4A44F0B0" w14:textId="77777777" w:rsidTr="00196BD5">
        <w:tc>
          <w:tcPr>
            <w:tcW w:w="1812" w:type="dxa"/>
          </w:tcPr>
          <w:p w14:paraId="712B58B9" w14:textId="77777777" w:rsidR="00B05A53" w:rsidRPr="00495361" w:rsidRDefault="00B05A53" w:rsidP="003A17CF">
            <w:pPr>
              <w:rPr>
                <w:rFonts w:ascii="Cambria" w:hAnsi="Cambria"/>
              </w:rPr>
            </w:pPr>
          </w:p>
        </w:tc>
        <w:tc>
          <w:tcPr>
            <w:tcW w:w="1616" w:type="dxa"/>
          </w:tcPr>
          <w:p w14:paraId="26F7A6EC" w14:textId="77777777" w:rsidR="00B05A53" w:rsidRPr="00495361" w:rsidRDefault="00B05A53" w:rsidP="003A17CF">
            <w:pPr>
              <w:jc w:val="center"/>
              <w:rPr>
                <w:rFonts w:ascii="Cambria" w:hAnsi="Cambria"/>
              </w:rPr>
            </w:pPr>
            <w:r w:rsidRPr="00495361">
              <w:rPr>
                <w:rFonts w:ascii="Cambria" w:eastAsia="Times New Roman" w:hAnsi="Cambria" w:cs="Times New Roman"/>
                <w:color w:val="212121"/>
              </w:rPr>
              <w:t>One Year</w:t>
            </w:r>
          </w:p>
        </w:tc>
        <w:tc>
          <w:tcPr>
            <w:tcW w:w="1617" w:type="dxa"/>
          </w:tcPr>
          <w:p w14:paraId="05CB6D00" w14:textId="77777777" w:rsidR="00B05A53" w:rsidRPr="00495361" w:rsidRDefault="00B05A53" w:rsidP="003A17CF">
            <w:pPr>
              <w:jc w:val="center"/>
              <w:rPr>
                <w:rFonts w:ascii="Cambria" w:eastAsia="Times New Roman" w:hAnsi="Cambria" w:cs="Times New Roman"/>
                <w:color w:val="212121"/>
              </w:rPr>
            </w:pPr>
            <w:r w:rsidRPr="00495361">
              <w:rPr>
                <w:rFonts w:ascii="Cambria" w:eastAsia="Times New Roman" w:hAnsi="Cambria" w:cs="Times New Roman"/>
                <w:color w:val="212121"/>
              </w:rPr>
              <w:t>Two Years</w:t>
            </w:r>
          </w:p>
        </w:tc>
        <w:tc>
          <w:tcPr>
            <w:tcW w:w="1616" w:type="dxa"/>
          </w:tcPr>
          <w:p w14:paraId="6821547E" w14:textId="77777777" w:rsidR="00B05A53" w:rsidRPr="00495361" w:rsidRDefault="00B05A53" w:rsidP="003A17CF">
            <w:pPr>
              <w:jc w:val="center"/>
              <w:rPr>
                <w:rFonts w:ascii="Cambria" w:eastAsia="Times New Roman" w:hAnsi="Cambria" w:cs="Times New Roman"/>
                <w:color w:val="212121"/>
              </w:rPr>
            </w:pPr>
            <w:r w:rsidRPr="00495361">
              <w:rPr>
                <w:rFonts w:ascii="Cambria" w:eastAsia="Times New Roman" w:hAnsi="Cambria" w:cs="Times New Roman"/>
                <w:color w:val="212121"/>
              </w:rPr>
              <w:t>Three Years</w:t>
            </w:r>
          </w:p>
        </w:tc>
        <w:tc>
          <w:tcPr>
            <w:tcW w:w="1617" w:type="dxa"/>
          </w:tcPr>
          <w:p w14:paraId="61B34827" w14:textId="77777777" w:rsidR="00B05A53" w:rsidRPr="00495361" w:rsidRDefault="00B05A53" w:rsidP="003A17CF">
            <w:pPr>
              <w:jc w:val="center"/>
              <w:rPr>
                <w:rFonts w:ascii="Cambria" w:eastAsia="Times New Roman" w:hAnsi="Cambria" w:cs="Times New Roman"/>
                <w:color w:val="212121"/>
              </w:rPr>
            </w:pPr>
            <w:r w:rsidRPr="00495361">
              <w:rPr>
                <w:rFonts w:ascii="Cambria" w:eastAsia="Times New Roman" w:hAnsi="Cambria" w:cs="Times New Roman"/>
                <w:color w:val="212121"/>
              </w:rPr>
              <w:t>Four Years</w:t>
            </w:r>
          </w:p>
        </w:tc>
        <w:tc>
          <w:tcPr>
            <w:tcW w:w="1617" w:type="dxa"/>
          </w:tcPr>
          <w:p w14:paraId="35E3ECF7" w14:textId="77777777" w:rsidR="00B05A53" w:rsidRDefault="00B05A53" w:rsidP="003A17CF">
            <w:pPr>
              <w:jc w:val="center"/>
              <w:rPr>
                <w:rFonts w:ascii="Cambria" w:eastAsia="Times New Roman" w:hAnsi="Cambria" w:cs="Times New Roman"/>
                <w:color w:val="212121"/>
              </w:rPr>
            </w:pPr>
            <w:r>
              <w:rPr>
                <w:rFonts w:ascii="Cambria" w:eastAsia="Times New Roman" w:hAnsi="Cambria" w:cs="Times New Roman"/>
                <w:color w:val="212121"/>
              </w:rPr>
              <w:t>Five</w:t>
            </w:r>
          </w:p>
          <w:p w14:paraId="04068FAF" w14:textId="77777777" w:rsidR="00B05A53" w:rsidRPr="00495361" w:rsidRDefault="00B05A53" w:rsidP="003A17CF">
            <w:pPr>
              <w:jc w:val="center"/>
              <w:rPr>
                <w:rFonts w:ascii="Cambria" w:eastAsia="Times New Roman" w:hAnsi="Cambria" w:cs="Times New Roman"/>
                <w:color w:val="212121"/>
              </w:rPr>
            </w:pPr>
            <w:r>
              <w:rPr>
                <w:rFonts w:ascii="Cambria" w:eastAsia="Times New Roman" w:hAnsi="Cambria" w:cs="Times New Roman"/>
                <w:color w:val="212121"/>
              </w:rPr>
              <w:t>Years</w:t>
            </w:r>
          </w:p>
        </w:tc>
      </w:tr>
      <w:tr w:rsidR="00B05A53" w:rsidRPr="00495361" w14:paraId="3980CD93" w14:textId="77777777" w:rsidTr="00196BD5">
        <w:tc>
          <w:tcPr>
            <w:tcW w:w="1812" w:type="dxa"/>
          </w:tcPr>
          <w:p w14:paraId="51D2602F" w14:textId="77777777" w:rsidR="00B05A53" w:rsidRPr="00495361" w:rsidRDefault="00B05A53" w:rsidP="003A17CF">
            <w:pPr>
              <w:rPr>
                <w:rFonts w:ascii="Cambria" w:hAnsi="Cambria"/>
              </w:rPr>
            </w:pPr>
            <w:r w:rsidRPr="00495361">
              <w:rPr>
                <w:rFonts w:ascii="Cambria" w:eastAsia="Times New Roman" w:hAnsi="Cambria" w:cs="Times New Roman"/>
                <w:color w:val="212121"/>
              </w:rPr>
              <w:t>Math 3-5</w:t>
            </w:r>
          </w:p>
        </w:tc>
        <w:tc>
          <w:tcPr>
            <w:tcW w:w="1616" w:type="dxa"/>
          </w:tcPr>
          <w:p w14:paraId="0EC0D986" w14:textId="292F953C" w:rsidR="00B05A53" w:rsidRPr="00495361" w:rsidRDefault="00B05A53" w:rsidP="00B05A53">
            <w:pPr>
              <w:jc w:val="center"/>
              <w:rPr>
                <w:rFonts w:ascii="Cambria" w:hAnsi="Cambria"/>
              </w:rPr>
            </w:pPr>
            <w:r>
              <w:rPr>
                <w:rFonts w:ascii="Cambria" w:hAnsi="Cambria"/>
              </w:rPr>
              <w:t>1</w:t>
            </w:r>
          </w:p>
        </w:tc>
        <w:tc>
          <w:tcPr>
            <w:tcW w:w="1617" w:type="dxa"/>
          </w:tcPr>
          <w:p w14:paraId="1765931E" w14:textId="217CF484" w:rsidR="00B05A53" w:rsidRPr="00495361" w:rsidRDefault="00B05A53" w:rsidP="00B05A53">
            <w:pPr>
              <w:jc w:val="center"/>
              <w:rPr>
                <w:rFonts w:ascii="Cambria" w:hAnsi="Cambria"/>
              </w:rPr>
            </w:pPr>
            <w:r>
              <w:rPr>
                <w:rFonts w:ascii="Cambria" w:hAnsi="Cambria"/>
              </w:rPr>
              <w:t>1</w:t>
            </w:r>
          </w:p>
        </w:tc>
        <w:tc>
          <w:tcPr>
            <w:tcW w:w="1616" w:type="dxa"/>
          </w:tcPr>
          <w:p w14:paraId="2EC9AA89" w14:textId="51BD3E00" w:rsidR="00B05A53" w:rsidRPr="00495361" w:rsidRDefault="00B05A53" w:rsidP="00B05A53">
            <w:pPr>
              <w:jc w:val="center"/>
              <w:rPr>
                <w:rFonts w:ascii="Cambria" w:hAnsi="Cambria"/>
              </w:rPr>
            </w:pPr>
            <w:r>
              <w:rPr>
                <w:rFonts w:ascii="Cambria" w:hAnsi="Cambria"/>
              </w:rPr>
              <w:t>1</w:t>
            </w:r>
          </w:p>
        </w:tc>
        <w:tc>
          <w:tcPr>
            <w:tcW w:w="1617" w:type="dxa"/>
          </w:tcPr>
          <w:p w14:paraId="09A00BEF" w14:textId="64005BDE" w:rsidR="00B05A53" w:rsidRPr="00495361" w:rsidRDefault="00B05A53" w:rsidP="00B05A53">
            <w:pPr>
              <w:jc w:val="center"/>
              <w:rPr>
                <w:rFonts w:ascii="Cambria" w:hAnsi="Cambria"/>
              </w:rPr>
            </w:pPr>
            <w:r>
              <w:rPr>
                <w:rFonts w:ascii="Cambria" w:hAnsi="Cambria"/>
              </w:rPr>
              <w:t>0</w:t>
            </w:r>
          </w:p>
        </w:tc>
        <w:tc>
          <w:tcPr>
            <w:tcW w:w="1617" w:type="dxa"/>
          </w:tcPr>
          <w:p w14:paraId="5BF69236" w14:textId="7CD133A1" w:rsidR="00B05A53" w:rsidRPr="00495361" w:rsidRDefault="00B05A53" w:rsidP="00B05A53">
            <w:pPr>
              <w:jc w:val="center"/>
              <w:rPr>
                <w:rFonts w:ascii="Cambria" w:hAnsi="Cambria"/>
              </w:rPr>
            </w:pPr>
            <w:r>
              <w:rPr>
                <w:rFonts w:ascii="Cambria" w:hAnsi="Cambria"/>
              </w:rPr>
              <w:t>1</w:t>
            </w:r>
          </w:p>
        </w:tc>
      </w:tr>
      <w:tr w:rsidR="00B05A53" w:rsidRPr="00495361" w14:paraId="0D036CA5" w14:textId="77777777" w:rsidTr="00196BD5">
        <w:tc>
          <w:tcPr>
            <w:tcW w:w="1812" w:type="dxa"/>
          </w:tcPr>
          <w:p w14:paraId="1D5B4C75" w14:textId="77777777" w:rsidR="00B05A53" w:rsidRPr="00495361" w:rsidRDefault="00B05A53" w:rsidP="003A17CF">
            <w:pPr>
              <w:rPr>
                <w:rFonts w:ascii="Cambria" w:hAnsi="Cambria"/>
              </w:rPr>
            </w:pPr>
            <w:r w:rsidRPr="00495361">
              <w:rPr>
                <w:rFonts w:ascii="Cambria" w:eastAsia="Times New Roman" w:hAnsi="Cambria" w:cs="Times New Roman"/>
                <w:color w:val="212121"/>
              </w:rPr>
              <w:t>ELA 3-5</w:t>
            </w:r>
          </w:p>
        </w:tc>
        <w:tc>
          <w:tcPr>
            <w:tcW w:w="1616" w:type="dxa"/>
          </w:tcPr>
          <w:p w14:paraId="5290E5FE" w14:textId="00B69B7B" w:rsidR="00B05A53" w:rsidRPr="00495361" w:rsidRDefault="00B05A53" w:rsidP="00B05A53">
            <w:pPr>
              <w:jc w:val="center"/>
              <w:rPr>
                <w:rFonts w:ascii="Cambria" w:hAnsi="Cambria"/>
              </w:rPr>
            </w:pPr>
            <w:r>
              <w:rPr>
                <w:rFonts w:ascii="Cambria" w:hAnsi="Cambria"/>
              </w:rPr>
              <w:t>0</w:t>
            </w:r>
          </w:p>
        </w:tc>
        <w:tc>
          <w:tcPr>
            <w:tcW w:w="1617" w:type="dxa"/>
          </w:tcPr>
          <w:p w14:paraId="1BD411AD" w14:textId="7877780D" w:rsidR="00B05A53" w:rsidRPr="00495361" w:rsidRDefault="00B05A53" w:rsidP="00B05A53">
            <w:pPr>
              <w:jc w:val="center"/>
              <w:rPr>
                <w:rFonts w:ascii="Cambria" w:hAnsi="Cambria"/>
              </w:rPr>
            </w:pPr>
            <w:r>
              <w:rPr>
                <w:rFonts w:ascii="Cambria" w:hAnsi="Cambria"/>
              </w:rPr>
              <w:t>1</w:t>
            </w:r>
          </w:p>
        </w:tc>
        <w:tc>
          <w:tcPr>
            <w:tcW w:w="1616" w:type="dxa"/>
          </w:tcPr>
          <w:p w14:paraId="31B6C981" w14:textId="1A4577AC" w:rsidR="00B05A53" w:rsidRPr="00495361" w:rsidRDefault="00B05A53" w:rsidP="00B05A53">
            <w:pPr>
              <w:jc w:val="center"/>
              <w:rPr>
                <w:rFonts w:ascii="Cambria" w:hAnsi="Cambria"/>
              </w:rPr>
            </w:pPr>
            <w:r>
              <w:rPr>
                <w:rFonts w:ascii="Cambria" w:hAnsi="Cambria"/>
              </w:rPr>
              <w:t>0</w:t>
            </w:r>
          </w:p>
        </w:tc>
        <w:tc>
          <w:tcPr>
            <w:tcW w:w="1617" w:type="dxa"/>
          </w:tcPr>
          <w:p w14:paraId="4C5D216B" w14:textId="760CC48B" w:rsidR="00B05A53" w:rsidRPr="00495361" w:rsidRDefault="00B05A53" w:rsidP="00B05A53">
            <w:pPr>
              <w:jc w:val="center"/>
              <w:rPr>
                <w:rFonts w:ascii="Cambria" w:hAnsi="Cambria"/>
              </w:rPr>
            </w:pPr>
            <w:r>
              <w:rPr>
                <w:rFonts w:ascii="Cambria" w:hAnsi="Cambria"/>
              </w:rPr>
              <w:t>1</w:t>
            </w:r>
          </w:p>
        </w:tc>
        <w:tc>
          <w:tcPr>
            <w:tcW w:w="1617" w:type="dxa"/>
          </w:tcPr>
          <w:p w14:paraId="2BD7F19F" w14:textId="62DCF823" w:rsidR="00B05A53" w:rsidRPr="00495361" w:rsidRDefault="00B05A53" w:rsidP="00B05A53">
            <w:pPr>
              <w:jc w:val="center"/>
              <w:rPr>
                <w:rFonts w:ascii="Cambria" w:hAnsi="Cambria"/>
              </w:rPr>
            </w:pPr>
            <w:r>
              <w:rPr>
                <w:rFonts w:ascii="Cambria" w:hAnsi="Cambria"/>
              </w:rPr>
              <w:t>1</w:t>
            </w:r>
          </w:p>
        </w:tc>
      </w:tr>
      <w:tr w:rsidR="00B05A53" w:rsidRPr="00495361" w14:paraId="4887E6F4" w14:textId="77777777" w:rsidTr="00196BD5">
        <w:tc>
          <w:tcPr>
            <w:tcW w:w="1812" w:type="dxa"/>
          </w:tcPr>
          <w:p w14:paraId="576BAA9D" w14:textId="77777777" w:rsidR="00B05A53" w:rsidRPr="00495361" w:rsidRDefault="00B05A53" w:rsidP="003A17CF">
            <w:pPr>
              <w:rPr>
                <w:rFonts w:ascii="Cambria" w:hAnsi="Cambria"/>
              </w:rPr>
            </w:pPr>
            <w:r w:rsidRPr="00495361">
              <w:rPr>
                <w:rFonts w:ascii="Cambria" w:eastAsia="Times New Roman" w:hAnsi="Cambria" w:cs="Times New Roman"/>
                <w:color w:val="212121"/>
              </w:rPr>
              <w:t>Math 6-8</w:t>
            </w:r>
          </w:p>
        </w:tc>
        <w:tc>
          <w:tcPr>
            <w:tcW w:w="1616" w:type="dxa"/>
          </w:tcPr>
          <w:p w14:paraId="587D3D79" w14:textId="52284948" w:rsidR="00B05A53" w:rsidRPr="00495361" w:rsidRDefault="00B05A53" w:rsidP="00B05A53">
            <w:pPr>
              <w:jc w:val="center"/>
              <w:rPr>
                <w:rFonts w:ascii="Cambria" w:hAnsi="Cambria"/>
              </w:rPr>
            </w:pPr>
            <w:r>
              <w:rPr>
                <w:rFonts w:ascii="Cambria" w:hAnsi="Cambria"/>
              </w:rPr>
              <w:t>3</w:t>
            </w:r>
          </w:p>
        </w:tc>
        <w:tc>
          <w:tcPr>
            <w:tcW w:w="1617" w:type="dxa"/>
          </w:tcPr>
          <w:p w14:paraId="57AC2F23" w14:textId="6E901E94" w:rsidR="00B05A53" w:rsidRPr="00495361" w:rsidRDefault="00B05A53" w:rsidP="00B05A53">
            <w:pPr>
              <w:jc w:val="center"/>
              <w:rPr>
                <w:rFonts w:ascii="Cambria" w:hAnsi="Cambria"/>
              </w:rPr>
            </w:pPr>
            <w:r>
              <w:rPr>
                <w:rFonts w:ascii="Cambria" w:hAnsi="Cambria"/>
              </w:rPr>
              <w:t>2</w:t>
            </w:r>
          </w:p>
        </w:tc>
        <w:tc>
          <w:tcPr>
            <w:tcW w:w="1616" w:type="dxa"/>
          </w:tcPr>
          <w:p w14:paraId="039925F0" w14:textId="29F20249" w:rsidR="00B05A53" w:rsidRPr="00495361" w:rsidRDefault="00B05A53" w:rsidP="00B05A53">
            <w:pPr>
              <w:jc w:val="center"/>
              <w:rPr>
                <w:rFonts w:ascii="Cambria" w:hAnsi="Cambria"/>
              </w:rPr>
            </w:pPr>
            <w:r>
              <w:rPr>
                <w:rFonts w:ascii="Cambria" w:hAnsi="Cambria"/>
              </w:rPr>
              <w:t>1</w:t>
            </w:r>
          </w:p>
        </w:tc>
        <w:tc>
          <w:tcPr>
            <w:tcW w:w="1617" w:type="dxa"/>
          </w:tcPr>
          <w:p w14:paraId="255121F6" w14:textId="444E815D" w:rsidR="00B05A53" w:rsidRPr="00495361" w:rsidRDefault="00B05A53" w:rsidP="00B05A53">
            <w:pPr>
              <w:jc w:val="center"/>
              <w:rPr>
                <w:rFonts w:ascii="Cambria" w:hAnsi="Cambria"/>
              </w:rPr>
            </w:pPr>
            <w:r>
              <w:rPr>
                <w:rFonts w:ascii="Cambria" w:hAnsi="Cambria"/>
              </w:rPr>
              <w:t>1</w:t>
            </w:r>
          </w:p>
        </w:tc>
        <w:tc>
          <w:tcPr>
            <w:tcW w:w="1617" w:type="dxa"/>
          </w:tcPr>
          <w:p w14:paraId="34908F91" w14:textId="12C59445" w:rsidR="00B05A53" w:rsidRPr="00495361" w:rsidRDefault="00B05A53" w:rsidP="00B05A53">
            <w:pPr>
              <w:jc w:val="center"/>
              <w:rPr>
                <w:rFonts w:ascii="Cambria" w:hAnsi="Cambria"/>
              </w:rPr>
            </w:pPr>
            <w:r>
              <w:rPr>
                <w:rFonts w:ascii="Cambria" w:hAnsi="Cambria"/>
              </w:rPr>
              <w:t>0</w:t>
            </w:r>
          </w:p>
        </w:tc>
      </w:tr>
      <w:tr w:rsidR="00B05A53" w:rsidRPr="00495361" w14:paraId="486E7F92" w14:textId="77777777" w:rsidTr="00196BD5">
        <w:tc>
          <w:tcPr>
            <w:tcW w:w="1812" w:type="dxa"/>
          </w:tcPr>
          <w:p w14:paraId="20B3F57C" w14:textId="40D5D97B" w:rsidR="00B05A53" w:rsidRPr="00495361" w:rsidRDefault="00B05A53" w:rsidP="003A17CF">
            <w:pPr>
              <w:rPr>
                <w:rFonts w:ascii="Cambria" w:eastAsia="Times New Roman" w:hAnsi="Cambria" w:cs="Times New Roman"/>
                <w:color w:val="212121"/>
              </w:rPr>
            </w:pPr>
            <w:r w:rsidRPr="00495361">
              <w:rPr>
                <w:rFonts w:ascii="Cambria" w:eastAsia="Times New Roman" w:hAnsi="Cambria" w:cs="Times New Roman"/>
                <w:color w:val="212121"/>
              </w:rPr>
              <w:t>ELA 6-8</w:t>
            </w:r>
          </w:p>
        </w:tc>
        <w:tc>
          <w:tcPr>
            <w:tcW w:w="1616" w:type="dxa"/>
          </w:tcPr>
          <w:p w14:paraId="32DD5D88" w14:textId="67052949" w:rsidR="00B05A53" w:rsidRPr="00495361" w:rsidRDefault="00B05A53" w:rsidP="00B05A53">
            <w:pPr>
              <w:jc w:val="center"/>
              <w:rPr>
                <w:rFonts w:ascii="Cambria" w:hAnsi="Cambria"/>
              </w:rPr>
            </w:pPr>
            <w:r>
              <w:rPr>
                <w:rFonts w:ascii="Cambria" w:hAnsi="Cambria"/>
              </w:rPr>
              <w:t>1</w:t>
            </w:r>
          </w:p>
        </w:tc>
        <w:tc>
          <w:tcPr>
            <w:tcW w:w="1617" w:type="dxa"/>
          </w:tcPr>
          <w:p w14:paraId="7159E8D2" w14:textId="4C0DBB0C" w:rsidR="00B05A53" w:rsidRPr="00495361" w:rsidRDefault="00B05A53" w:rsidP="00B05A53">
            <w:pPr>
              <w:jc w:val="center"/>
              <w:rPr>
                <w:rFonts w:ascii="Cambria" w:hAnsi="Cambria"/>
              </w:rPr>
            </w:pPr>
            <w:r>
              <w:rPr>
                <w:rFonts w:ascii="Cambria" w:hAnsi="Cambria"/>
              </w:rPr>
              <w:t>1</w:t>
            </w:r>
          </w:p>
        </w:tc>
        <w:tc>
          <w:tcPr>
            <w:tcW w:w="1616" w:type="dxa"/>
          </w:tcPr>
          <w:p w14:paraId="2145A5E5" w14:textId="45CD99EB" w:rsidR="00B05A53" w:rsidRPr="00495361" w:rsidRDefault="00B05A53" w:rsidP="00B05A53">
            <w:pPr>
              <w:jc w:val="center"/>
              <w:rPr>
                <w:rFonts w:ascii="Cambria" w:hAnsi="Cambria"/>
              </w:rPr>
            </w:pPr>
            <w:r>
              <w:rPr>
                <w:rFonts w:ascii="Cambria" w:hAnsi="Cambria"/>
              </w:rPr>
              <w:t>0</w:t>
            </w:r>
          </w:p>
        </w:tc>
        <w:tc>
          <w:tcPr>
            <w:tcW w:w="1617" w:type="dxa"/>
          </w:tcPr>
          <w:p w14:paraId="07FA015C" w14:textId="544C6BAF" w:rsidR="00B05A53" w:rsidRPr="00495361" w:rsidRDefault="00B05A53" w:rsidP="00B05A53">
            <w:pPr>
              <w:jc w:val="center"/>
              <w:rPr>
                <w:rFonts w:ascii="Cambria" w:hAnsi="Cambria"/>
              </w:rPr>
            </w:pPr>
            <w:r>
              <w:rPr>
                <w:rFonts w:ascii="Cambria" w:hAnsi="Cambria"/>
              </w:rPr>
              <w:t>0</w:t>
            </w:r>
          </w:p>
        </w:tc>
        <w:tc>
          <w:tcPr>
            <w:tcW w:w="1617" w:type="dxa"/>
          </w:tcPr>
          <w:p w14:paraId="1D12DE9F" w14:textId="12CBEFF2" w:rsidR="00B05A53" w:rsidRPr="00495361" w:rsidRDefault="00B05A53" w:rsidP="00B05A53">
            <w:pPr>
              <w:jc w:val="center"/>
              <w:rPr>
                <w:rFonts w:ascii="Cambria" w:hAnsi="Cambria"/>
              </w:rPr>
            </w:pPr>
            <w:r>
              <w:rPr>
                <w:rFonts w:ascii="Cambria" w:hAnsi="Cambria"/>
              </w:rPr>
              <w:t>0</w:t>
            </w:r>
          </w:p>
        </w:tc>
      </w:tr>
      <w:tr w:rsidR="00B05A53" w:rsidRPr="00495361" w14:paraId="41C96000" w14:textId="77777777" w:rsidTr="00196BD5">
        <w:tc>
          <w:tcPr>
            <w:tcW w:w="1812" w:type="dxa"/>
          </w:tcPr>
          <w:p w14:paraId="12B5488F" w14:textId="72C9688F" w:rsidR="00B05A53" w:rsidRPr="00495361" w:rsidRDefault="00B05A53" w:rsidP="003A17CF">
            <w:pPr>
              <w:rPr>
                <w:rFonts w:ascii="Cambria" w:eastAsia="Times New Roman" w:hAnsi="Cambria" w:cs="Times New Roman"/>
                <w:color w:val="212121"/>
              </w:rPr>
            </w:pPr>
            <w:r>
              <w:rPr>
                <w:rFonts w:ascii="Cambria" w:eastAsia="Times New Roman" w:hAnsi="Cambria" w:cs="Times New Roman"/>
                <w:color w:val="212121"/>
              </w:rPr>
              <w:t>ELA 9-12</w:t>
            </w:r>
          </w:p>
        </w:tc>
        <w:tc>
          <w:tcPr>
            <w:tcW w:w="1616" w:type="dxa"/>
          </w:tcPr>
          <w:p w14:paraId="4FAD5710" w14:textId="34C0C273" w:rsidR="00B05A53" w:rsidRDefault="00B05A53" w:rsidP="00B05A53">
            <w:pPr>
              <w:jc w:val="center"/>
              <w:rPr>
                <w:rFonts w:ascii="Cambria" w:hAnsi="Cambria"/>
              </w:rPr>
            </w:pPr>
            <w:r>
              <w:rPr>
                <w:rFonts w:ascii="Cambria" w:hAnsi="Cambria"/>
              </w:rPr>
              <w:t>7</w:t>
            </w:r>
          </w:p>
        </w:tc>
        <w:tc>
          <w:tcPr>
            <w:tcW w:w="1617" w:type="dxa"/>
          </w:tcPr>
          <w:p w14:paraId="47F1D4BB" w14:textId="61F07DB5" w:rsidR="00B05A53" w:rsidRDefault="00B05A53" w:rsidP="00B05A53">
            <w:pPr>
              <w:jc w:val="center"/>
              <w:rPr>
                <w:rFonts w:ascii="Cambria" w:hAnsi="Cambria"/>
              </w:rPr>
            </w:pPr>
            <w:r>
              <w:rPr>
                <w:rFonts w:ascii="Cambria" w:hAnsi="Cambria"/>
              </w:rPr>
              <w:t>--</w:t>
            </w:r>
          </w:p>
        </w:tc>
        <w:tc>
          <w:tcPr>
            <w:tcW w:w="1616" w:type="dxa"/>
          </w:tcPr>
          <w:p w14:paraId="237AF48F" w14:textId="621370FA" w:rsidR="00B05A53" w:rsidRDefault="00B05A53" w:rsidP="00B05A53">
            <w:pPr>
              <w:jc w:val="center"/>
              <w:rPr>
                <w:rFonts w:ascii="Cambria" w:hAnsi="Cambria"/>
              </w:rPr>
            </w:pPr>
            <w:r>
              <w:rPr>
                <w:rFonts w:ascii="Cambria" w:hAnsi="Cambria"/>
              </w:rPr>
              <w:t>--</w:t>
            </w:r>
          </w:p>
        </w:tc>
        <w:tc>
          <w:tcPr>
            <w:tcW w:w="1617" w:type="dxa"/>
          </w:tcPr>
          <w:p w14:paraId="3F04D7A2" w14:textId="1EE21A10" w:rsidR="00B05A53" w:rsidRDefault="00B05A53" w:rsidP="00B05A53">
            <w:pPr>
              <w:jc w:val="center"/>
              <w:rPr>
                <w:rFonts w:ascii="Cambria" w:hAnsi="Cambria"/>
              </w:rPr>
            </w:pPr>
            <w:r>
              <w:rPr>
                <w:rFonts w:ascii="Cambria" w:hAnsi="Cambria"/>
              </w:rPr>
              <w:t>--</w:t>
            </w:r>
          </w:p>
        </w:tc>
        <w:tc>
          <w:tcPr>
            <w:tcW w:w="1617" w:type="dxa"/>
          </w:tcPr>
          <w:p w14:paraId="37D138D8" w14:textId="630E9939" w:rsidR="00B05A53" w:rsidRDefault="00B05A53" w:rsidP="00B05A53">
            <w:pPr>
              <w:jc w:val="center"/>
              <w:rPr>
                <w:rFonts w:ascii="Cambria" w:hAnsi="Cambria"/>
              </w:rPr>
            </w:pPr>
            <w:r>
              <w:rPr>
                <w:rFonts w:ascii="Cambria" w:hAnsi="Cambria"/>
              </w:rPr>
              <w:t>--</w:t>
            </w:r>
          </w:p>
        </w:tc>
      </w:tr>
      <w:tr w:rsidR="00B05A53" w:rsidRPr="00495361" w14:paraId="1E66E390" w14:textId="77777777" w:rsidTr="00196BD5">
        <w:tc>
          <w:tcPr>
            <w:tcW w:w="1812" w:type="dxa"/>
          </w:tcPr>
          <w:p w14:paraId="5220E9DE" w14:textId="77777777" w:rsidR="00B05A53" w:rsidRPr="00495361" w:rsidRDefault="00B05A53" w:rsidP="003A17CF">
            <w:pPr>
              <w:rPr>
                <w:rFonts w:ascii="Cambria" w:eastAsia="Times New Roman" w:hAnsi="Cambria" w:cs="Times New Roman"/>
                <w:color w:val="212121"/>
              </w:rPr>
            </w:pPr>
            <w:r>
              <w:rPr>
                <w:rFonts w:ascii="Cambria" w:eastAsia="Times New Roman" w:hAnsi="Cambria" w:cs="Times New Roman"/>
                <w:color w:val="212121"/>
              </w:rPr>
              <w:t>Total</w:t>
            </w:r>
          </w:p>
        </w:tc>
        <w:tc>
          <w:tcPr>
            <w:tcW w:w="1616" w:type="dxa"/>
          </w:tcPr>
          <w:p w14:paraId="53B8BDB8" w14:textId="42190F80" w:rsidR="00B05A53" w:rsidRPr="00495361" w:rsidRDefault="00B05A53" w:rsidP="003A17CF">
            <w:pPr>
              <w:jc w:val="center"/>
              <w:rPr>
                <w:rFonts w:ascii="Cambria" w:hAnsi="Cambria"/>
              </w:rPr>
            </w:pPr>
            <w:r>
              <w:rPr>
                <w:rFonts w:ascii="Cambria" w:hAnsi="Cambria"/>
              </w:rPr>
              <w:t>12</w:t>
            </w:r>
          </w:p>
        </w:tc>
        <w:tc>
          <w:tcPr>
            <w:tcW w:w="1617" w:type="dxa"/>
          </w:tcPr>
          <w:p w14:paraId="71530E0A" w14:textId="56747BA3" w:rsidR="00B05A53" w:rsidRPr="00495361" w:rsidRDefault="00196BD5" w:rsidP="003A17CF">
            <w:pPr>
              <w:jc w:val="center"/>
              <w:rPr>
                <w:rFonts w:ascii="Cambria" w:hAnsi="Cambria"/>
              </w:rPr>
            </w:pPr>
            <w:r>
              <w:rPr>
                <w:rFonts w:ascii="Cambria" w:hAnsi="Cambria"/>
              </w:rPr>
              <w:t>5</w:t>
            </w:r>
          </w:p>
        </w:tc>
        <w:tc>
          <w:tcPr>
            <w:tcW w:w="1616" w:type="dxa"/>
          </w:tcPr>
          <w:p w14:paraId="1A4E7971" w14:textId="4DB809C2" w:rsidR="00B05A53" w:rsidRPr="00495361" w:rsidRDefault="00196BD5" w:rsidP="003A17CF">
            <w:pPr>
              <w:jc w:val="center"/>
              <w:rPr>
                <w:rFonts w:ascii="Cambria" w:hAnsi="Cambria"/>
              </w:rPr>
            </w:pPr>
            <w:r>
              <w:rPr>
                <w:rFonts w:ascii="Cambria" w:hAnsi="Cambria"/>
              </w:rPr>
              <w:t>2</w:t>
            </w:r>
          </w:p>
        </w:tc>
        <w:tc>
          <w:tcPr>
            <w:tcW w:w="1617" w:type="dxa"/>
          </w:tcPr>
          <w:p w14:paraId="4F95956E" w14:textId="61133533" w:rsidR="00B05A53" w:rsidRPr="00495361" w:rsidRDefault="00196BD5" w:rsidP="003A17CF">
            <w:pPr>
              <w:jc w:val="center"/>
              <w:rPr>
                <w:rFonts w:ascii="Cambria" w:hAnsi="Cambria"/>
              </w:rPr>
            </w:pPr>
            <w:r>
              <w:rPr>
                <w:rFonts w:ascii="Cambria" w:hAnsi="Cambria"/>
              </w:rPr>
              <w:t>2</w:t>
            </w:r>
          </w:p>
        </w:tc>
        <w:tc>
          <w:tcPr>
            <w:tcW w:w="1617" w:type="dxa"/>
          </w:tcPr>
          <w:p w14:paraId="38926B56" w14:textId="29AA8EEF" w:rsidR="00B05A53" w:rsidRPr="00495361" w:rsidRDefault="00196BD5" w:rsidP="003A17CF">
            <w:pPr>
              <w:jc w:val="center"/>
              <w:rPr>
                <w:rFonts w:ascii="Cambria" w:hAnsi="Cambria"/>
              </w:rPr>
            </w:pPr>
            <w:r>
              <w:rPr>
                <w:rFonts w:ascii="Cambria" w:hAnsi="Cambria"/>
              </w:rPr>
              <w:t>2</w:t>
            </w:r>
          </w:p>
        </w:tc>
      </w:tr>
    </w:tbl>
    <w:p w14:paraId="1B28394F" w14:textId="77777777" w:rsidR="00894F04" w:rsidRDefault="00894F04" w:rsidP="00983366">
      <w:pPr>
        <w:rPr>
          <w:rFonts w:ascii="Cambria" w:hAnsi="Cambria"/>
          <w:color w:val="171717" w:themeColor="background2" w:themeShade="1A"/>
        </w:rPr>
      </w:pPr>
    </w:p>
    <w:p w14:paraId="4C9FF9DF" w14:textId="2696DF0A" w:rsidR="004F3114" w:rsidRPr="00983366" w:rsidRDefault="004F3114" w:rsidP="00983366">
      <w:pPr>
        <w:rPr>
          <w:rFonts w:ascii="Cambria" w:hAnsi="Cambria"/>
          <w:color w:val="171717" w:themeColor="background2" w:themeShade="1A"/>
        </w:rPr>
      </w:pPr>
      <w:r w:rsidRPr="00983366">
        <w:rPr>
          <w:rFonts w:ascii="Cambria" w:hAnsi="Cambria"/>
          <w:color w:val="171717" w:themeColor="background2" w:themeShade="1A"/>
        </w:rPr>
        <w:t>Th</w:t>
      </w:r>
      <w:r w:rsidR="00E132C0">
        <w:rPr>
          <w:rFonts w:ascii="Cambria" w:hAnsi="Cambria"/>
          <w:color w:val="171717" w:themeColor="background2" w:themeShade="1A"/>
        </w:rPr>
        <w:t xml:space="preserve">e </w:t>
      </w:r>
      <w:r w:rsidRPr="00983366">
        <w:rPr>
          <w:rFonts w:ascii="Cambria" w:hAnsi="Cambria"/>
          <w:color w:val="171717" w:themeColor="background2" w:themeShade="1A"/>
        </w:rPr>
        <w:t>report</w:t>
      </w:r>
      <w:r w:rsidR="00624777">
        <w:rPr>
          <w:rFonts w:ascii="Cambria" w:hAnsi="Cambria"/>
          <w:color w:val="171717" w:themeColor="background2" w:themeShade="1A"/>
        </w:rPr>
        <w:t xml:space="preserve"> </w:t>
      </w:r>
      <w:r w:rsidR="00E132C0">
        <w:rPr>
          <w:rFonts w:ascii="Cambria" w:hAnsi="Cambria"/>
          <w:color w:val="171717" w:themeColor="background2" w:themeShade="1A"/>
        </w:rPr>
        <w:t xml:space="preserve">compares the results from the </w:t>
      </w:r>
      <w:r w:rsidR="00A94E97">
        <w:rPr>
          <w:rFonts w:ascii="Cambria" w:hAnsi="Cambria"/>
          <w:color w:val="171717" w:themeColor="background2" w:themeShade="1A"/>
        </w:rPr>
        <w:t>four</w:t>
      </w:r>
      <w:r w:rsidR="00E132C0">
        <w:rPr>
          <w:rFonts w:ascii="Cambria" w:hAnsi="Cambria"/>
          <w:color w:val="171717" w:themeColor="background2" w:themeShade="1A"/>
        </w:rPr>
        <w:t xml:space="preserve"> surveys </w:t>
      </w:r>
      <w:r w:rsidR="00894F04">
        <w:rPr>
          <w:rFonts w:ascii="Cambria" w:hAnsi="Cambria"/>
          <w:color w:val="171717" w:themeColor="background2" w:themeShade="1A"/>
        </w:rPr>
        <w:t xml:space="preserve">across Cohorts </w:t>
      </w:r>
      <w:r w:rsidR="003C32B0">
        <w:rPr>
          <w:rFonts w:ascii="Cambria" w:hAnsi="Cambria"/>
          <w:color w:val="171717" w:themeColor="background2" w:themeShade="1A"/>
        </w:rPr>
        <w:t>o</w:t>
      </w:r>
      <w:r w:rsidR="00E132C0">
        <w:rPr>
          <w:rFonts w:ascii="Cambria" w:hAnsi="Cambria"/>
          <w:color w:val="171717" w:themeColor="background2" w:themeShade="1A"/>
        </w:rPr>
        <w:t>n the following topics</w:t>
      </w:r>
      <w:r w:rsidRPr="00983366">
        <w:rPr>
          <w:rFonts w:ascii="Cambria" w:hAnsi="Cambria"/>
          <w:color w:val="171717" w:themeColor="background2" w:themeShade="1A"/>
        </w:rPr>
        <w:t xml:space="preserve">: </w:t>
      </w:r>
    </w:p>
    <w:p w14:paraId="745C51FB" w14:textId="77777777" w:rsidR="00983366" w:rsidRPr="00983366" w:rsidRDefault="00983366" w:rsidP="00983366">
      <w:pPr>
        <w:rPr>
          <w:rFonts w:ascii="Cambria" w:hAnsi="Cambria"/>
          <w:color w:val="171717" w:themeColor="background2" w:themeShade="1A"/>
        </w:rPr>
      </w:pPr>
    </w:p>
    <w:p w14:paraId="6586663A" w14:textId="5EDF1E25" w:rsidR="004F3114" w:rsidRPr="00983366" w:rsidRDefault="004F3114" w:rsidP="00983366">
      <w:pPr>
        <w:pStyle w:val="ListParagraph"/>
        <w:numPr>
          <w:ilvl w:val="0"/>
          <w:numId w:val="5"/>
        </w:numPr>
        <w:spacing w:before="0" w:beforeAutospacing="0" w:after="0" w:afterAutospacing="0"/>
        <w:rPr>
          <w:rFonts w:ascii="Cambria" w:hAnsi="Cambria"/>
          <w:color w:val="171717" w:themeColor="background2" w:themeShade="1A"/>
          <w:sz w:val="24"/>
          <w:szCs w:val="24"/>
        </w:rPr>
      </w:pPr>
      <w:r w:rsidRPr="00983366">
        <w:rPr>
          <w:rFonts w:ascii="Cambria" w:hAnsi="Cambria"/>
          <w:color w:val="171717" w:themeColor="background2" w:themeShade="1A"/>
          <w:sz w:val="24"/>
          <w:szCs w:val="24"/>
        </w:rPr>
        <w:t>Participant Perceptions of Program Quality</w:t>
      </w:r>
    </w:p>
    <w:p w14:paraId="489986F8" w14:textId="77777777" w:rsidR="004F3114" w:rsidRPr="00983366" w:rsidRDefault="004F3114" w:rsidP="00983366">
      <w:pPr>
        <w:pStyle w:val="ListParagraph"/>
        <w:numPr>
          <w:ilvl w:val="0"/>
          <w:numId w:val="5"/>
        </w:numPr>
        <w:spacing w:before="0" w:beforeAutospacing="0" w:after="0" w:afterAutospacing="0"/>
        <w:rPr>
          <w:rFonts w:ascii="Cambria" w:hAnsi="Cambria"/>
          <w:color w:val="171717" w:themeColor="background2" w:themeShade="1A"/>
          <w:sz w:val="24"/>
          <w:szCs w:val="24"/>
        </w:rPr>
      </w:pPr>
      <w:r w:rsidRPr="00983366">
        <w:rPr>
          <w:rFonts w:ascii="Cambria" w:hAnsi="Cambria"/>
          <w:color w:val="171717" w:themeColor="background2" w:themeShade="1A"/>
          <w:sz w:val="24"/>
          <w:szCs w:val="24"/>
        </w:rPr>
        <w:t>Participant Perceptions of the Importance of CBE Components in their Future Professional Learning</w:t>
      </w:r>
    </w:p>
    <w:p w14:paraId="44DBAE90" w14:textId="72D0751B" w:rsidR="004F3114" w:rsidRPr="00983366" w:rsidRDefault="004F3114" w:rsidP="00983366">
      <w:pPr>
        <w:pStyle w:val="ListParagraph"/>
        <w:numPr>
          <w:ilvl w:val="0"/>
          <w:numId w:val="5"/>
        </w:numPr>
        <w:spacing w:before="0" w:beforeAutospacing="0" w:after="0" w:afterAutospacing="0"/>
        <w:rPr>
          <w:rFonts w:ascii="Cambria" w:hAnsi="Cambria"/>
          <w:color w:val="171717" w:themeColor="background2" w:themeShade="1A"/>
          <w:sz w:val="24"/>
          <w:szCs w:val="24"/>
        </w:rPr>
      </w:pPr>
      <w:r w:rsidRPr="00983366">
        <w:rPr>
          <w:rFonts w:ascii="Cambria" w:hAnsi="Cambria"/>
          <w:color w:val="171717" w:themeColor="background2" w:themeShade="1A"/>
          <w:sz w:val="24"/>
          <w:szCs w:val="24"/>
        </w:rPr>
        <w:t xml:space="preserve">Conditions Surrounding </w:t>
      </w:r>
      <w:r w:rsidR="006D3B10">
        <w:rPr>
          <w:rFonts w:ascii="Cambria" w:hAnsi="Cambria"/>
          <w:color w:val="171717" w:themeColor="background2" w:themeShade="1A"/>
          <w:sz w:val="24"/>
          <w:szCs w:val="24"/>
        </w:rPr>
        <w:t>the</w:t>
      </w:r>
      <w:r w:rsidR="003C32B0">
        <w:rPr>
          <w:rFonts w:ascii="Cambria" w:hAnsi="Cambria"/>
          <w:color w:val="171717" w:themeColor="background2" w:themeShade="1A"/>
          <w:sz w:val="24"/>
          <w:szCs w:val="24"/>
        </w:rPr>
        <w:t>ir</w:t>
      </w:r>
      <w:r w:rsidR="002C4629">
        <w:rPr>
          <w:rFonts w:ascii="Cambria" w:hAnsi="Cambria"/>
          <w:color w:val="171717" w:themeColor="background2" w:themeShade="1A"/>
          <w:sz w:val="24"/>
          <w:szCs w:val="24"/>
        </w:rPr>
        <w:t xml:space="preserve"> </w:t>
      </w:r>
      <w:r w:rsidRPr="00983366">
        <w:rPr>
          <w:rFonts w:ascii="Cambria" w:hAnsi="Cambria"/>
          <w:color w:val="171717" w:themeColor="background2" w:themeShade="1A"/>
          <w:sz w:val="24"/>
          <w:szCs w:val="24"/>
        </w:rPr>
        <w:t>Administration of Performance Assessments</w:t>
      </w:r>
    </w:p>
    <w:p w14:paraId="4C4DE676" w14:textId="77777777" w:rsidR="00583415" w:rsidRPr="00983366" w:rsidRDefault="00583415" w:rsidP="00BF5C57">
      <w:pPr>
        <w:pStyle w:val="ListParagraph"/>
        <w:spacing w:before="0" w:beforeAutospacing="0" w:after="0" w:afterAutospacing="0"/>
        <w:ind w:left="720"/>
        <w:rPr>
          <w:rFonts w:ascii="Cambria" w:hAnsi="Cambria"/>
          <w:color w:val="171717" w:themeColor="background2" w:themeShade="1A"/>
          <w:sz w:val="24"/>
          <w:szCs w:val="24"/>
        </w:rPr>
      </w:pPr>
    </w:p>
    <w:p w14:paraId="12222094" w14:textId="77777777" w:rsidR="003C32B0" w:rsidRDefault="0085441C" w:rsidP="00AB7FA6">
      <w:pPr>
        <w:rPr>
          <w:rFonts w:ascii="Cambria" w:hAnsi="Cambria"/>
          <w:color w:val="171717" w:themeColor="background2" w:themeShade="1A"/>
        </w:rPr>
      </w:pPr>
      <w:r w:rsidRPr="00AB7FA6">
        <w:rPr>
          <w:rFonts w:ascii="Cambria" w:hAnsi="Cambria"/>
          <w:color w:val="171717" w:themeColor="background2" w:themeShade="1A"/>
        </w:rPr>
        <w:t>Before comparing the exit surveys from Cohorts II</w:t>
      </w:r>
      <w:r w:rsidR="00C13E4C">
        <w:rPr>
          <w:rFonts w:ascii="Cambria" w:hAnsi="Cambria"/>
          <w:color w:val="171717" w:themeColor="background2" w:themeShade="1A"/>
        </w:rPr>
        <w:t>,</w:t>
      </w:r>
      <w:r w:rsidRPr="00AB7FA6">
        <w:rPr>
          <w:rFonts w:ascii="Cambria" w:hAnsi="Cambria"/>
          <w:color w:val="171717" w:themeColor="background2" w:themeShade="1A"/>
        </w:rPr>
        <w:t xml:space="preserve"> III,</w:t>
      </w:r>
      <w:r w:rsidR="00411757">
        <w:rPr>
          <w:rFonts w:ascii="Cambria" w:hAnsi="Cambria"/>
          <w:color w:val="171717" w:themeColor="background2" w:themeShade="1A"/>
        </w:rPr>
        <w:t xml:space="preserve"> </w:t>
      </w:r>
      <w:r w:rsidR="00C13E4C">
        <w:rPr>
          <w:rFonts w:ascii="Cambria" w:hAnsi="Cambria"/>
          <w:color w:val="171717" w:themeColor="background2" w:themeShade="1A"/>
        </w:rPr>
        <w:t>IV</w:t>
      </w:r>
      <w:r w:rsidR="00411757">
        <w:rPr>
          <w:rFonts w:ascii="Cambria" w:hAnsi="Cambria"/>
          <w:color w:val="171717" w:themeColor="background2" w:themeShade="1A"/>
        </w:rPr>
        <w:t>, V</w:t>
      </w:r>
      <w:r w:rsidRPr="00AB7FA6">
        <w:rPr>
          <w:rFonts w:ascii="Cambria" w:hAnsi="Cambria"/>
          <w:color w:val="171717" w:themeColor="background2" w:themeShade="1A"/>
        </w:rPr>
        <w:t xml:space="preserve"> a note of caution is in order. Importantly, the number of participants responding to the survey in </w:t>
      </w:r>
      <w:r w:rsidR="00342463">
        <w:rPr>
          <w:rFonts w:ascii="Cambria" w:hAnsi="Cambria"/>
          <w:color w:val="171717" w:themeColor="background2" w:themeShade="1A"/>
        </w:rPr>
        <w:t>any of the four</w:t>
      </w:r>
      <w:r w:rsidR="00342463" w:rsidRPr="00AB7FA6">
        <w:rPr>
          <w:rFonts w:ascii="Cambria" w:hAnsi="Cambria"/>
          <w:color w:val="171717" w:themeColor="background2" w:themeShade="1A"/>
        </w:rPr>
        <w:t xml:space="preserve"> </w:t>
      </w:r>
      <w:r w:rsidRPr="00AB7FA6">
        <w:rPr>
          <w:rFonts w:ascii="Cambria" w:hAnsi="Cambria"/>
          <w:color w:val="171717" w:themeColor="background2" w:themeShade="1A"/>
        </w:rPr>
        <w:t>year</w:t>
      </w:r>
      <w:r w:rsidR="00342463">
        <w:rPr>
          <w:rFonts w:ascii="Cambria" w:hAnsi="Cambria"/>
          <w:color w:val="171717" w:themeColor="background2" w:themeShade="1A"/>
        </w:rPr>
        <w:t>s</w:t>
      </w:r>
      <w:r w:rsidRPr="00AB7FA6">
        <w:rPr>
          <w:rFonts w:ascii="Cambria" w:hAnsi="Cambria"/>
          <w:color w:val="171717" w:themeColor="background2" w:themeShade="1A"/>
        </w:rPr>
        <w:t xml:space="preserve"> </w:t>
      </w:r>
      <w:r w:rsidR="00342463">
        <w:rPr>
          <w:rFonts w:ascii="Cambria" w:hAnsi="Cambria"/>
          <w:color w:val="171717" w:themeColor="background2" w:themeShade="1A"/>
        </w:rPr>
        <w:t>i</w:t>
      </w:r>
      <w:r w:rsidRPr="00AB7FA6">
        <w:rPr>
          <w:rFonts w:ascii="Cambria" w:hAnsi="Cambria"/>
          <w:color w:val="171717" w:themeColor="background2" w:themeShade="1A"/>
        </w:rPr>
        <w:t>s small. The Cohort II exit survey had 12 participant responses</w:t>
      </w:r>
      <w:r w:rsidR="00251DD6">
        <w:rPr>
          <w:rFonts w:ascii="Cambria" w:hAnsi="Cambria"/>
          <w:color w:val="171717" w:themeColor="background2" w:themeShade="1A"/>
        </w:rPr>
        <w:t xml:space="preserve">, </w:t>
      </w:r>
      <w:r w:rsidRPr="00AB7FA6">
        <w:rPr>
          <w:rFonts w:ascii="Cambria" w:hAnsi="Cambria"/>
          <w:color w:val="171717" w:themeColor="background2" w:themeShade="1A"/>
        </w:rPr>
        <w:t xml:space="preserve">the Cohort III survey had 14 </w:t>
      </w:r>
      <w:r w:rsidRPr="00AB7FA6">
        <w:rPr>
          <w:rFonts w:ascii="Cambria" w:hAnsi="Cambria"/>
          <w:color w:val="171717" w:themeColor="background2" w:themeShade="1A"/>
        </w:rPr>
        <w:lastRenderedPageBreak/>
        <w:t>participant responses</w:t>
      </w:r>
      <w:r w:rsidR="00251DD6">
        <w:rPr>
          <w:rFonts w:ascii="Cambria" w:hAnsi="Cambria"/>
          <w:color w:val="171717" w:themeColor="background2" w:themeShade="1A"/>
        </w:rPr>
        <w:t>, the Cohort IV survey had 18 respondents</w:t>
      </w:r>
      <w:r w:rsidR="00411757">
        <w:rPr>
          <w:rFonts w:ascii="Cambria" w:hAnsi="Cambria"/>
          <w:color w:val="171717" w:themeColor="background2" w:themeShade="1A"/>
        </w:rPr>
        <w:t>, and the Cohort V survey had 19 respondents</w:t>
      </w:r>
      <w:r w:rsidRPr="00AB7FA6">
        <w:rPr>
          <w:rFonts w:ascii="Cambria" w:hAnsi="Cambria"/>
          <w:color w:val="171717" w:themeColor="background2" w:themeShade="1A"/>
        </w:rPr>
        <w:t>. Because of the small respondent pool, findings should be interpreted carefully, as a change in response of a single respondent would greatly influence the overall average. A single respondent represents 8% (Cohort II)</w:t>
      </w:r>
      <w:r w:rsidR="00CD410B">
        <w:rPr>
          <w:rFonts w:ascii="Cambria" w:hAnsi="Cambria"/>
          <w:color w:val="171717" w:themeColor="background2" w:themeShade="1A"/>
        </w:rPr>
        <w:t>,</w:t>
      </w:r>
      <w:r w:rsidRPr="00AB7FA6">
        <w:rPr>
          <w:rFonts w:ascii="Cambria" w:hAnsi="Cambria"/>
          <w:color w:val="171717" w:themeColor="background2" w:themeShade="1A"/>
        </w:rPr>
        <w:t xml:space="preserve"> 7% (Cohort III)</w:t>
      </w:r>
      <w:r w:rsidR="00CD410B">
        <w:rPr>
          <w:rFonts w:ascii="Cambria" w:hAnsi="Cambria"/>
          <w:color w:val="171717" w:themeColor="background2" w:themeShade="1A"/>
        </w:rPr>
        <w:t>, 6% (Cohort IV)</w:t>
      </w:r>
      <w:r w:rsidR="00411757">
        <w:rPr>
          <w:rFonts w:ascii="Cambria" w:hAnsi="Cambria"/>
          <w:color w:val="171717" w:themeColor="background2" w:themeShade="1A"/>
        </w:rPr>
        <w:t>, and 5% (Cohort V)</w:t>
      </w:r>
      <w:r w:rsidRPr="00AB7FA6">
        <w:rPr>
          <w:rFonts w:ascii="Cambria" w:hAnsi="Cambria"/>
          <w:color w:val="171717" w:themeColor="background2" w:themeShade="1A"/>
        </w:rPr>
        <w:t xml:space="preserve"> of the entire pool. </w:t>
      </w:r>
    </w:p>
    <w:p w14:paraId="7C103946" w14:textId="77777777" w:rsidR="003C32B0" w:rsidRDefault="003C32B0" w:rsidP="00AB7FA6">
      <w:pPr>
        <w:rPr>
          <w:rFonts w:ascii="Cambria" w:hAnsi="Cambria"/>
          <w:color w:val="171717" w:themeColor="background2" w:themeShade="1A"/>
        </w:rPr>
      </w:pPr>
    </w:p>
    <w:p w14:paraId="6BACF88D" w14:textId="5AB75871" w:rsidR="003C32B0" w:rsidRDefault="003C32B0" w:rsidP="00AB7FA6">
      <w:pPr>
        <w:rPr>
          <w:rFonts w:ascii="Cambria" w:hAnsi="Cambria"/>
          <w:color w:val="171717" w:themeColor="background2" w:themeShade="1A"/>
        </w:rPr>
      </w:pPr>
      <w:r>
        <w:rPr>
          <w:rFonts w:ascii="Cambria" w:hAnsi="Cambria"/>
          <w:color w:val="171717" w:themeColor="background2" w:themeShade="1A"/>
        </w:rPr>
        <w:t xml:space="preserve">Second, </w:t>
      </w:r>
      <w:proofErr w:type="gramStart"/>
      <w:r>
        <w:rPr>
          <w:rFonts w:ascii="Cambria" w:hAnsi="Cambria"/>
          <w:color w:val="171717" w:themeColor="background2" w:themeShade="1A"/>
        </w:rPr>
        <w:t>a number of</w:t>
      </w:r>
      <w:proofErr w:type="gramEnd"/>
      <w:r>
        <w:rPr>
          <w:rFonts w:ascii="Cambria" w:hAnsi="Cambria"/>
          <w:color w:val="171717" w:themeColor="background2" w:themeShade="1A"/>
        </w:rPr>
        <w:t xml:space="preserve"> members of any Cohort have participated in more than one MiPAC Cohort. Put another way, each Cohort is comprised of members who are new to the Cohort as well as those who have participated in two or more Cohorts.</w:t>
      </w:r>
    </w:p>
    <w:p w14:paraId="77D2F4EC" w14:textId="77777777" w:rsidR="003C32B0" w:rsidRDefault="003C32B0" w:rsidP="00AB7FA6">
      <w:pPr>
        <w:rPr>
          <w:rFonts w:ascii="Cambria" w:hAnsi="Cambria"/>
          <w:color w:val="171717" w:themeColor="background2" w:themeShade="1A"/>
        </w:rPr>
      </w:pPr>
    </w:p>
    <w:p w14:paraId="0F7C484E" w14:textId="47F3FCF4" w:rsidR="0085441C" w:rsidRPr="00AB7FA6" w:rsidRDefault="0085441C" w:rsidP="00AB7FA6">
      <w:pPr>
        <w:rPr>
          <w:rFonts w:ascii="Cambria" w:hAnsi="Cambria"/>
          <w:color w:val="171717" w:themeColor="background2" w:themeShade="1A"/>
        </w:rPr>
      </w:pPr>
      <w:r w:rsidRPr="00AB7FA6">
        <w:rPr>
          <w:rFonts w:ascii="Cambria" w:hAnsi="Cambria"/>
          <w:color w:val="171717" w:themeColor="background2" w:themeShade="1A"/>
        </w:rPr>
        <w:t>With th</w:t>
      </w:r>
      <w:r w:rsidR="003C32B0">
        <w:rPr>
          <w:rFonts w:ascii="Cambria" w:hAnsi="Cambria"/>
          <w:color w:val="171717" w:themeColor="background2" w:themeShade="1A"/>
        </w:rPr>
        <w:t>ese</w:t>
      </w:r>
      <w:r w:rsidRPr="00AB7FA6">
        <w:rPr>
          <w:rFonts w:ascii="Cambria" w:hAnsi="Cambria"/>
          <w:color w:val="171717" w:themeColor="background2" w:themeShade="1A"/>
        </w:rPr>
        <w:t xml:space="preserve"> in mind, readers should be more focused on general trends (e.g., participants in </w:t>
      </w:r>
      <w:r w:rsidR="00181DDF">
        <w:rPr>
          <w:rFonts w:ascii="Cambria" w:hAnsi="Cambria"/>
          <w:color w:val="171717" w:themeColor="background2" w:themeShade="1A"/>
        </w:rPr>
        <w:t>all</w:t>
      </w:r>
      <w:r w:rsidRPr="00AB7FA6">
        <w:rPr>
          <w:rFonts w:ascii="Cambria" w:hAnsi="Cambria"/>
          <w:color w:val="171717" w:themeColor="background2" w:themeShade="1A"/>
        </w:rPr>
        <w:t xml:space="preserve"> years were overwhelming favorable about program content</w:t>
      </w:r>
      <w:r w:rsidR="00181DDF">
        <w:rPr>
          <w:rFonts w:ascii="Cambria" w:hAnsi="Cambria"/>
          <w:color w:val="171717" w:themeColor="background2" w:themeShade="1A"/>
        </w:rPr>
        <w:t xml:space="preserve"> and the favorable perceptions have</w:t>
      </w:r>
      <w:r w:rsidR="00342463">
        <w:rPr>
          <w:rFonts w:ascii="Cambria" w:hAnsi="Cambria"/>
          <w:color w:val="171717" w:themeColor="background2" w:themeShade="1A"/>
        </w:rPr>
        <w:t xml:space="preserve"> generally</w:t>
      </w:r>
      <w:r w:rsidR="00181DDF">
        <w:rPr>
          <w:rFonts w:ascii="Cambria" w:hAnsi="Cambria"/>
          <w:color w:val="171717" w:themeColor="background2" w:themeShade="1A"/>
        </w:rPr>
        <w:t xml:space="preserve"> increased over time</w:t>
      </w:r>
      <w:r w:rsidRPr="00AB7FA6">
        <w:rPr>
          <w:rFonts w:ascii="Cambria" w:hAnsi="Cambria"/>
          <w:color w:val="171717" w:themeColor="background2" w:themeShade="1A"/>
        </w:rPr>
        <w:t xml:space="preserve">) than direct comparisons </w:t>
      </w:r>
      <w:r w:rsidR="00181DDF">
        <w:rPr>
          <w:rFonts w:ascii="Cambria" w:hAnsi="Cambria"/>
          <w:color w:val="171717" w:themeColor="background2" w:themeShade="1A"/>
        </w:rPr>
        <w:t>a</w:t>
      </w:r>
      <w:r w:rsidR="00411757">
        <w:rPr>
          <w:rFonts w:ascii="Cambria" w:hAnsi="Cambria"/>
          <w:color w:val="171717" w:themeColor="background2" w:themeShade="1A"/>
        </w:rPr>
        <w:t>cross the four</w:t>
      </w:r>
      <w:r w:rsidRPr="00AB7FA6">
        <w:rPr>
          <w:rFonts w:ascii="Cambria" w:hAnsi="Cambria"/>
          <w:color w:val="171717" w:themeColor="background2" w:themeShade="1A"/>
        </w:rPr>
        <w:t xml:space="preserve"> Cohorts. </w:t>
      </w:r>
    </w:p>
    <w:p w14:paraId="73A2234C" w14:textId="77777777" w:rsidR="00983366" w:rsidRPr="00AB7FA6" w:rsidRDefault="00983366" w:rsidP="00AB7FA6">
      <w:pPr>
        <w:ind w:left="360"/>
        <w:rPr>
          <w:rFonts w:ascii="Cambria" w:hAnsi="Cambria"/>
          <w:color w:val="171717" w:themeColor="background2" w:themeShade="1A"/>
        </w:rPr>
      </w:pPr>
    </w:p>
    <w:p w14:paraId="49AA3BB8" w14:textId="49968607" w:rsidR="00477DBD" w:rsidRPr="00E55335" w:rsidRDefault="00477DBD">
      <w:pPr>
        <w:rPr>
          <w:rFonts w:ascii="Cambria" w:hAnsi="Cambria"/>
          <w:b/>
          <w:bCs/>
          <w:color w:val="171717" w:themeColor="background2" w:themeShade="1A"/>
        </w:rPr>
      </w:pPr>
      <w:r w:rsidRPr="00E55335">
        <w:rPr>
          <w:rFonts w:ascii="Cambria" w:hAnsi="Cambria"/>
          <w:b/>
          <w:bCs/>
          <w:color w:val="171717" w:themeColor="background2" w:themeShade="1A"/>
        </w:rPr>
        <w:t>Participant Perceptions of Program Quality</w:t>
      </w:r>
    </w:p>
    <w:p w14:paraId="460B1EAC" w14:textId="43EB9A73" w:rsidR="00F22558" w:rsidRDefault="00F22558" w:rsidP="006D3B10">
      <w:pPr>
        <w:rPr>
          <w:rFonts w:ascii="Cambria" w:hAnsi="Cambria"/>
          <w:color w:val="171717" w:themeColor="background2" w:themeShade="1A"/>
        </w:rPr>
      </w:pPr>
      <w:r>
        <w:rPr>
          <w:rFonts w:ascii="Cambria" w:hAnsi="Cambria"/>
          <w:color w:val="171717" w:themeColor="background2" w:themeShade="1A"/>
        </w:rPr>
        <w:tab/>
        <w:t xml:space="preserve"> </w:t>
      </w:r>
    </w:p>
    <w:p w14:paraId="07F6D0A3" w14:textId="377D988C" w:rsidR="006D3B10" w:rsidRPr="00BF5C57" w:rsidRDefault="00477DBD" w:rsidP="00BF5C57">
      <w:pPr>
        <w:rPr>
          <w:rFonts w:ascii="Cambria" w:hAnsi="Cambria"/>
          <w:color w:val="171717" w:themeColor="background2" w:themeShade="1A"/>
        </w:rPr>
      </w:pPr>
      <w:r w:rsidRPr="00E55335">
        <w:rPr>
          <w:rFonts w:ascii="Cambria" w:hAnsi="Cambria"/>
          <w:color w:val="171717" w:themeColor="background2" w:themeShade="1A"/>
        </w:rPr>
        <w:t xml:space="preserve">This section reports </w:t>
      </w:r>
      <w:r w:rsidR="00BF0147">
        <w:rPr>
          <w:rFonts w:ascii="Cambria" w:hAnsi="Cambria"/>
          <w:color w:val="171717" w:themeColor="background2" w:themeShade="1A"/>
        </w:rPr>
        <w:t>Cohort members’</w:t>
      </w:r>
      <w:r w:rsidR="00BF0147" w:rsidRPr="00E55335">
        <w:rPr>
          <w:rFonts w:ascii="Cambria" w:hAnsi="Cambria"/>
          <w:color w:val="171717" w:themeColor="background2" w:themeShade="1A"/>
        </w:rPr>
        <w:t xml:space="preserve"> </w:t>
      </w:r>
      <w:r w:rsidRPr="00E55335">
        <w:rPr>
          <w:rFonts w:ascii="Cambria" w:hAnsi="Cambria"/>
          <w:color w:val="171717" w:themeColor="background2" w:themeShade="1A"/>
        </w:rPr>
        <w:t>perceptions of MiPAC program quality</w:t>
      </w:r>
      <w:r w:rsidR="00E132C0">
        <w:rPr>
          <w:rFonts w:ascii="Cambria" w:hAnsi="Cambria"/>
          <w:color w:val="171717" w:themeColor="background2" w:themeShade="1A"/>
        </w:rPr>
        <w:t xml:space="preserve"> for Cohorts II</w:t>
      </w:r>
      <w:r w:rsidR="006D6774">
        <w:rPr>
          <w:rFonts w:ascii="Cambria" w:hAnsi="Cambria"/>
          <w:color w:val="171717" w:themeColor="background2" w:themeShade="1A"/>
        </w:rPr>
        <w:t xml:space="preserve">, </w:t>
      </w:r>
      <w:r w:rsidR="00E132C0">
        <w:rPr>
          <w:rFonts w:ascii="Cambria" w:hAnsi="Cambria"/>
          <w:color w:val="171717" w:themeColor="background2" w:themeShade="1A"/>
        </w:rPr>
        <w:t>III</w:t>
      </w:r>
      <w:r w:rsidR="006D6774">
        <w:rPr>
          <w:rFonts w:ascii="Cambria" w:hAnsi="Cambria"/>
          <w:color w:val="171717" w:themeColor="background2" w:themeShade="1A"/>
        </w:rPr>
        <w:t>, IV</w:t>
      </w:r>
      <w:r w:rsidR="00411757">
        <w:rPr>
          <w:rFonts w:ascii="Cambria" w:hAnsi="Cambria"/>
          <w:color w:val="171717" w:themeColor="background2" w:themeShade="1A"/>
        </w:rPr>
        <w:t>, and V</w:t>
      </w:r>
      <w:r w:rsidRPr="00E55335">
        <w:rPr>
          <w:rFonts w:ascii="Cambria" w:hAnsi="Cambria"/>
          <w:color w:val="171717" w:themeColor="background2" w:themeShade="1A"/>
        </w:rPr>
        <w:t xml:space="preserve">. For ease of reading, participant perceptions of program quality are separated into </w:t>
      </w:r>
      <w:r w:rsidR="006D6774">
        <w:rPr>
          <w:rFonts w:ascii="Cambria" w:hAnsi="Cambria"/>
          <w:color w:val="171717" w:themeColor="background2" w:themeShade="1A"/>
        </w:rPr>
        <w:t>eight</w:t>
      </w:r>
      <w:r w:rsidR="000505B0">
        <w:rPr>
          <w:rFonts w:ascii="Cambria" w:hAnsi="Cambria"/>
          <w:color w:val="171717" w:themeColor="background2" w:themeShade="1A"/>
        </w:rPr>
        <w:t xml:space="preserve"> </w:t>
      </w:r>
      <w:r w:rsidR="00661D15">
        <w:rPr>
          <w:rFonts w:ascii="Cambria" w:hAnsi="Cambria"/>
          <w:color w:val="171717" w:themeColor="background2" w:themeShade="1A"/>
        </w:rPr>
        <w:t>Figure</w:t>
      </w:r>
      <w:r w:rsidRPr="00E55335">
        <w:rPr>
          <w:rFonts w:ascii="Cambria" w:hAnsi="Cambria"/>
          <w:color w:val="171717" w:themeColor="background2" w:themeShade="1A"/>
        </w:rPr>
        <w:t>s.</w:t>
      </w:r>
      <w:r w:rsidR="000505B0">
        <w:rPr>
          <w:rFonts w:ascii="Cambria" w:hAnsi="Cambria"/>
          <w:color w:val="171717" w:themeColor="background2" w:themeShade="1A"/>
        </w:rPr>
        <w:t xml:space="preserve"> </w:t>
      </w:r>
      <w:r w:rsidR="00D569BC">
        <w:rPr>
          <w:rFonts w:ascii="Cambria" w:hAnsi="Cambria"/>
          <w:color w:val="171717" w:themeColor="background2" w:themeShade="1A"/>
        </w:rPr>
        <w:t>Each</w:t>
      </w:r>
      <w:r w:rsidR="000505B0">
        <w:rPr>
          <w:rFonts w:ascii="Cambria" w:hAnsi="Cambria"/>
          <w:color w:val="171717" w:themeColor="background2" w:themeShade="1A"/>
        </w:rPr>
        <w:t xml:space="preserve"> </w:t>
      </w:r>
      <w:r w:rsidR="00661D15">
        <w:rPr>
          <w:rFonts w:ascii="Cambria" w:hAnsi="Cambria"/>
          <w:color w:val="171717" w:themeColor="background2" w:themeShade="1A"/>
        </w:rPr>
        <w:t>Figure</w:t>
      </w:r>
      <w:r w:rsidR="000505B0">
        <w:rPr>
          <w:rFonts w:ascii="Cambria" w:hAnsi="Cambria"/>
          <w:color w:val="171717" w:themeColor="background2" w:themeShade="1A"/>
        </w:rPr>
        <w:t xml:space="preserve"> compar</w:t>
      </w:r>
      <w:r w:rsidR="00D569BC">
        <w:rPr>
          <w:rFonts w:ascii="Cambria" w:hAnsi="Cambria"/>
          <w:color w:val="171717" w:themeColor="background2" w:themeShade="1A"/>
        </w:rPr>
        <w:t>es</w:t>
      </w:r>
      <w:r w:rsidR="000505B0">
        <w:rPr>
          <w:rFonts w:ascii="Cambria" w:hAnsi="Cambria"/>
          <w:color w:val="171717" w:themeColor="background2" w:themeShade="1A"/>
        </w:rPr>
        <w:t xml:space="preserve"> the perceptions of participants from Cohort II</w:t>
      </w:r>
      <w:r w:rsidR="006D6774">
        <w:rPr>
          <w:rFonts w:ascii="Cambria" w:hAnsi="Cambria"/>
          <w:color w:val="171717" w:themeColor="background2" w:themeShade="1A"/>
        </w:rPr>
        <w:t>, III, IV</w:t>
      </w:r>
      <w:r w:rsidR="00411757">
        <w:rPr>
          <w:rFonts w:ascii="Cambria" w:hAnsi="Cambria"/>
          <w:color w:val="171717" w:themeColor="background2" w:themeShade="1A"/>
        </w:rPr>
        <w:t>, and V</w:t>
      </w:r>
      <w:r w:rsidR="006D6774">
        <w:rPr>
          <w:rFonts w:ascii="Cambria" w:hAnsi="Cambria"/>
          <w:color w:val="171717" w:themeColor="background2" w:themeShade="1A"/>
        </w:rPr>
        <w:t xml:space="preserve"> on a single survey item</w:t>
      </w:r>
      <w:r w:rsidR="002707EB">
        <w:rPr>
          <w:rFonts w:ascii="Cambria" w:hAnsi="Cambria"/>
          <w:color w:val="171717" w:themeColor="background2" w:themeShade="1A"/>
        </w:rPr>
        <w:t>. So, for instance, Figure I displays the results from Cohorts II</w:t>
      </w:r>
      <w:r w:rsidR="006D6774">
        <w:rPr>
          <w:rFonts w:ascii="Cambria" w:hAnsi="Cambria"/>
          <w:color w:val="171717" w:themeColor="background2" w:themeShade="1A"/>
        </w:rPr>
        <w:t>, III, IV</w:t>
      </w:r>
      <w:r w:rsidR="00411757">
        <w:rPr>
          <w:rFonts w:ascii="Cambria" w:hAnsi="Cambria"/>
          <w:color w:val="171717" w:themeColor="background2" w:themeShade="1A"/>
        </w:rPr>
        <w:t>, and V</w:t>
      </w:r>
      <w:r w:rsidR="002707EB">
        <w:rPr>
          <w:rFonts w:ascii="Cambria" w:hAnsi="Cambria"/>
          <w:color w:val="171717" w:themeColor="background2" w:themeShade="1A"/>
        </w:rPr>
        <w:t xml:space="preserve"> </w:t>
      </w:r>
      <w:r w:rsidR="006D6774">
        <w:rPr>
          <w:rFonts w:ascii="Cambria" w:hAnsi="Cambria"/>
          <w:color w:val="171717" w:themeColor="background2" w:themeShade="1A"/>
        </w:rPr>
        <w:t xml:space="preserve">on the following </w:t>
      </w:r>
      <w:r w:rsidR="002707EB">
        <w:rPr>
          <w:rFonts w:ascii="Cambria" w:hAnsi="Cambria"/>
          <w:color w:val="171717" w:themeColor="background2" w:themeShade="1A"/>
        </w:rPr>
        <w:t>item:</w:t>
      </w:r>
      <w:r w:rsidR="009F6FD2">
        <w:rPr>
          <w:rFonts w:ascii="Cambria" w:hAnsi="Cambria"/>
          <w:color w:val="171717" w:themeColor="background2" w:themeShade="1A"/>
        </w:rPr>
        <w:t xml:space="preserve"> </w:t>
      </w:r>
      <w:r w:rsidR="003C32B0">
        <w:rPr>
          <w:rFonts w:ascii="Cambria" w:hAnsi="Cambria"/>
          <w:color w:val="171717" w:themeColor="background2" w:themeShade="1A"/>
        </w:rPr>
        <w:t>“</w:t>
      </w:r>
      <w:r w:rsidR="000505B0" w:rsidRPr="00BF5C57">
        <w:rPr>
          <w:rFonts w:ascii="Cambria" w:hAnsi="Cambria"/>
          <w:color w:val="171717" w:themeColor="background2" w:themeShade="1A"/>
        </w:rPr>
        <w:t>I would recommend MiPAC to a colleague</w:t>
      </w:r>
      <w:r w:rsidR="009F6FD2">
        <w:rPr>
          <w:rFonts w:ascii="Cambria" w:hAnsi="Cambria"/>
          <w:color w:val="171717" w:themeColor="background2" w:themeShade="1A"/>
        </w:rPr>
        <w:t>.</w:t>
      </w:r>
      <w:r w:rsidR="003C32B0">
        <w:rPr>
          <w:rFonts w:ascii="Cambria" w:hAnsi="Cambria"/>
          <w:color w:val="171717" w:themeColor="background2" w:themeShade="1A"/>
        </w:rPr>
        <w:t>”</w:t>
      </w:r>
    </w:p>
    <w:p w14:paraId="01DBAD74" w14:textId="77777777" w:rsidR="00E53A6D" w:rsidRDefault="00E53A6D" w:rsidP="00661D15">
      <w:pPr>
        <w:rPr>
          <w:rFonts w:ascii="Cambria" w:hAnsi="Cambria"/>
          <w:i/>
          <w:iCs/>
          <w:color w:val="171717" w:themeColor="background2" w:themeShade="1A"/>
        </w:rPr>
      </w:pPr>
    </w:p>
    <w:p w14:paraId="1A3D80A4" w14:textId="6589AFED" w:rsidR="00520C06" w:rsidRDefault="00520C06" w:rsidP="00661D15">
      <w:pPr>
        <w:rPr>
          <w:rFonts w:ascii="Cambria" w:hAnsi="Cambria"/>
          <w:i/>
          <w:iCs/>
          <w:color w:val="171717" w:themeColor="background2" w:themeShade="1A"/>
        </w:rPr>
      </w:pPr>
      <w:r w:rsidRPr="00661D15">
        <w:rPr>
          <w:rFonts w:ascii="Cambria" w:hAnsi="Cambria"/>
          <w:i/>
          <w:iCs/>
          <w:color w:val="171717" w:themeColor="background2" w:themeShade="1A"/>
        </w:rPr>
        <w:t>Item 1. Recommending MiPAC to a Colle</w:t>
      </w:r>
      <w:r>
        <w:rPr>
          <w:rFonts w:ascii="Cambria" w:hAnsi="Cambria"/>
          <w:i/>
          <w:iCs/>
          <w:color w:val="171717" w:themeColor="background2" w:themeShade="1A"/>
        </w:rPr>
        <w:t>a</w:t>
      </w:r>
      <w:r w:rsidRPr="00661D15">
        <w:rPr>
          <w:rFonts w:ascii="Cambria" w:hAnsi="Cambria"/>
          <w:i/>
          <w:iCs/>
          <w:color w:val="171717" w:themeColor="background2" w:themeShade="1A"/>
        </w:rPr>
        <w:t>gue</w:t>
      </w:r>
    </w:p>
    <w:p w14:paraId="553D0572" w14:textId="77777777" w:rsidR="00BB1524" w:rsidRPr="00661D15" w:rsidRDefault="00BB1524" w:rsidP="00661D15">
      <w:pPr>
        <w:rPr>
          <w:rFonts w:ascii="Cambria" w:hAnsi="Cambria"/>
          <w:i/>
          <w:iCs/>
          <w:color w:val="171717" w:themeColor="background2" w:themeShade="1A"/>
        </w:rPr>
      </w:pPr>
    </w:p>
    <w:p w14:paraId="0C713224" w14:textId="1C482446" w:rsidR="009E2FB1" w:rsidRDefault="00520C06" w:rsidP="00520C06">
      <w:pPr>
        <w:rPr>
          <w:rFonts w:ascii="Cambria" w:hAnsi="Cambria"/>
          <w:color w:val="171717" w:themeColor="background2" w:themeShade="1A"/>
        </w:rPr>
      </w:pPr>
      <w:r>
        <w:rPr>
          <w:rFonts w:ascii="Cambria" w:hAnsi="Cambria"/>
          <w:color w:val="171717" w:themeColor="background2" w:themeShade="1A"/>
        </w:rPr>
        <w:tab/>
        <w:t xml:space="preserve">The percentage of participants who would recommend MiPAC to a colleague stayed very consistent from Cohort II to Cohort III. </w:t>
      </w:r>
      <w:r w:rsidR="00486B8E">
        <w:rPr>
          <w:rFonts w:ascii="Cambria" w:hAnsi="Cambria"/>
          <w:color w:val="171717" w:themeColor="background2" w:themeShade="1A"/>
        </w:rPr>
        <w:t>No respondent “strongly disagreed</w:t>
      </w:r>
      <w:r w:rsidR="009319C7">
        <w:rPr>
          <w:rFonts w:ascii="Cambria" w:hAnsi="Cambria"/>
          <w:color w:val="171717" w:themeColor="background2" w:themeShade="1A"/>
        </w:rPr>
        <w:t>”</w:t>
      </w:r>
      <w:r w:rsidR="00486B8E">
        <w:rPr>
          <w:rFonts w:ascii="Cambria" w:hAnsi="Cambria"/>
          <w:color w:val="171717" w:themeColor="background2" w:themeShade="1A"/>
        </w:rPr>
        <w:t xml:space="preserve"> with this statement and less that 10% disagreed. The percentage of participants who strong</w:t>
      </w:r>
      <w:r w:rsidR="009319C7">
        <w:rPr>
          <w:rFonts w:ascii="Cambria" w:hAnsi="Cambria"/>
          <w:color w:val="171717" w:themeColor="background2" w:themeShade="1A"/>
        </w:rPr>
        <w:t>ly</w:t>
      </w:r>
      <w:r w:rsidR="00486B8E">
        <w:rPr>
          <w:rFonts w:ascii="Cambria" w:hAnsi="Cambria"/>
          <w:color w:val="171717" w:themeColor="background2" w:themeShade="1A"/>
        </w:rPr>
        <w:t xml:space="preserve"> agreed that they would recommend MiPAC to a colleague rose roughly 5% from Cohort II (35%) to Cohort III (40%).</w:t>
      </w:r>
      <w:r w:rsidR="00E53A6D">
        <w:rPr>
          <w:rFonts w:ascii="Cambria" w:hAnsi="Cambria"/>
          <w:color w:val="171717" w:themeColor="background2" w:themeShade="1A"/>
        </w:rPr>
        <w:t xml:space="preserve"> The percentage of participants who strongly agreed that they would recommend MiPAC to a colleague rose considerably in Cohort IV from 40% in Cohort III to 67% in Cohort IV. </w:t>
      </w:r>
      <w:r w:rsidR="009F7041">
        <w:rPr>
          <w:rFonts w:ascii="Cambria" w:hAnsi="Cambria"/>
          <w:color w:val="171717" w:themeColor="background2" w:themeShade="1A"/>
        </w:rPr>
        <w:t>The increases observed from Cohort III to Cohort IV were sustained in Cohort V. Cohort V numbers were nearly identical to Cohort IV (if anything there was a slight increase). In Cohort V, 68% strongly agreed with the state</w:t>
      </w:r>
      <w:r w:rsidR="00D503D7">
        <w:rPr>
          <w:rFonts w:ascii="Cambria" w:hAnsi="Cambria"/>
          <w:color w:val="171717" w:themeColor="background2" w:themeShade="1A"/>
        </w:rPr>
        <w:t>ment</w:t>
      </w:r>
      <w:r w:rsidR="009F7041">
        <w:rPr>
          <w:rFonts w:ascii="Cambria" w:hAnsi="Cambria"/>
          <w:color w:val="171717" w:themeColor="background2" w:themeShade="1A"/>
        </w:rPr>
        <w:t xml:space="preserve"> and 32% agreed. </w:t>
      </w:r>
      <w:r w:rsidR="008172BE">
        <w:rPr>
          <w:rFonts w:ascii="Cambria" w:hAnsi="Cambria"/>
          <w:color w:val="171717" w:themeColor="background2" w:themeShade="1A"/>
        </w:rPr>
        <w:t xml:space="preserve">This information is captured in Figure 1. </w:t>
      </w:r>
    </w:p>
    <w:p w14:paraId="3CFE98B9" w14:textId="77777777" w:rsidR="00E53A6D" w:rsidRDefault="00E53A6D" w:rsidP="00520C06">
      <w:pPr>
        <w:rPr>
          <w:rFonts w:ascii="Cambria" w:hAnsi="Cambria"/>
          <w:color w:val="171717" w:themeColor="background2" w:themeShade="1A"/>
        </w:rPr>
      </w:pPr>
    </w:p>
    <w:p w14:paraId="46F31477" w14:textId="77777777" w:rsidR="00E53A6D" w:rsidRDefault="00E53A6D" w:rsidP="00E53A6D">
      <w:pPr>
        <w:rPr>
          <w:rFonts w:ascii="Cambria" w:hAnsi="Cambria"/>
          <w:b/>
          <w:bCs/>
          <w:color w:val="171717" w:themeColor="background2" w:themeShade="1A"/>
        </w:rPr>
      </w:pPr>
      <w:r>
        <w:rPr>
          <w:rFonts w:ascii="Cambria" w:hAnsi="Cambria"/>
          <w:b/>
          <w:bCs/>
          <w:color w:val="171717" w:themeColor="background2" w:themeShade="1A"/>
        </w:rPr>
        <w:t>Figure</w:t>
      </w:r>
      <w:r w:rsidRPr="00AB7FA6">
        <w:rPr>
          <w:rFonts w:ascii="Cambria" w:hAnsi="Cambria"/>
          <w:b/>
          <w:bCs/>
          <w:color w:val="171717" w:themeColor="background2" w:themeShade="1A"/>
        </w:rPr>
        <w:t xml:space="preserve"> 1. Perceptions of Program Quality </w:t>
      </w:r>
      <w:r>
        <w:rPr>
          <w:rFonts w:ascii="Cambria" w:hAnsi="Cambria"/>
          <w:b/>
          <w:bCs/>
          <w:color w:val="171717" w:themeColor="background2" w:themeShade="1A"/>
        </w:rPr>
        <w:t xml:space="preserve">for Item 1 </w:t>
      </w:r>
    </w:p>
    <w:p w14:paraId="7664F5EA" w14:textId="16A458B0" w:rsidR="00E53A6D" w:rsidRPr="00AB7FA6" w:rsidRDefault="009F7041" w:rsidP="00E53A6D">
      <w:pPr>
        <w:rPr>
          <w:rFonts w:ascii="Cambria" w:hAnsi="Cambria"/>
          <w:b/>
          <w:bCs/>
          <w:color w:val="171717" w:themeColor="background2" w:themeShade="1A"/>
        </w:rPr>
      </w:pPr>
      <w:r>
        <w:rPr>
          <w:noProof/>
        </w:rPr>
        <w:lastRenderedPageBreak/>
        <w:drawing>
          <wp:inline distT="0" distB="0" distL="0" distR="0" wp14:anchorId="1318C583" wp14:editId="6E31310E">
            <wp:extent cx="5943600" cy="3402965"/>
            <wp:effectExtent l="0" t="0" r="12700" b="13335"/>
            <wp:docPr id="78892869" name="Chart 1">
              <a:extLst xmlns:a="http://schemas.openxmlformats.org/drawingml/2006/main">
                <a:ext uri="{FF2B5EF4-FFF2-40B4-BE49-F238E27FC236}">
                  <a16:creationId xmlns:a16="http://schemas.microsoft.com/office/drawing/2014/main" id="{DC2FA206-933A-5015-4904-85A6162FDD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0CC9C41" w14:textId="77777777" w:rsidR="00E53A6D" w:rsidRPr="00BF5C57" w:rsidRDefault="00E53A6D" w:rsidP="00520C06">
      <w:pPr>
        <w:rPr>
          <w:rFonts w:ascii="Cambria" w:hAnsi="Cambria"/>
          <w:color w:val="171717" w:themeColor="background2" w:themeShade="1A"/>
          <w:sz w:val="16"/>
          <w:szCs w:val="16"/>
        </w:rPr>
      </w:pPr>
    </w:p>
    <w:p w14:paraId="35B3FA02" w14:textId="171B5E8F" w:rsidR="00486B8E" w:rsidRPr="00661D15" w:rsidRDefault="00486B8E" w:rsidP="00AB7FA6">
      <w:pPr>
        <w:rPr>
          <w:rFonts w:ascii="Cambria" w:hAnsi="Cambria"/>
          <w:i/>
          <w:iCs/>
          <w:color w:val="171717" w:themeColor="background2" w:themeShade="1A"/>
        </w:rPr>
      </w:pPr>
      <w:r w:rsidRPr="00661D15">
        <w:rPr>
          <w:rFonts w:ascii="Cambria" w:hAnsi="Cambria"/>
          <w:i/>
          <w:iCs/>
          <w:color w:val="171717" w:themeColor="background2" w:themeShade="1A"/>
        </w:rPr>
        <w:t>Item 2. Perceptions of Learning Session Content</w:t>
      </w:r>
    </w:p>
    <w:p w14:paraId="0529449B" w14:textId="33F044BC" w:rsidR="00C05D4E" w:rsidRPr="00983366" w:rsidRDefault="00C05D4E">
      <w:pPr>
        <w:rPr>
          <w:rFonts w:ascii="Cambria" w:hAnsi="Cambria"/>
          <w:color w:val="171717" w:themeColor="background2" w:themeShade="1A"/>
          <w:sz w:val="16"/>
          <w:szCs w:val="16"/>
        </w:rPr>
      </w:pPr>
    </w:p>
    <w:p w14:paraId="7185B21A" w14:textId="16227AA8" w:rsidR="008172BE" w:rsidRDefault="00624777" w:rsidP="008172BE">
      <w:pPr>
        <w:rPr>
          <w:rFonts w:ascii="Cambria" w:hAnsi="Cambria"/>
          <w:color w:val="171717" w:themeColor="background2" w:themeShade="1A"/>
        </w:rPr>
      </w:pPr>
      <w:r>
        <w:rPr>
          <w:rFonts w:ascii="Cambria" w:hAnsi="Cambria"/>
          <w:color w:val="171717" w:themeColor="background2" w:themeShade="1A"/>
        </w:rPr>
        <w:tab/>
        <w:t xml:space="preserve">Perceptions of program content were high for both Cohort II and Cohort III, but slightly higher in Cohort II. When asked if program content exceeded their expectations, no participant strongly disagreed, but 8% of Cohort II participants and 16% of Cohort III participants disagreed with this statement. Although this number remained small, it essentially doubled from Cohort II to Cohort III. </w:t>
      </w:r>
      <w:r w:rsidR="00775DA1">
        <w:rPr>
          <w:rFonts w:ascii="Cambria" w:hAnsi="Cambria"/>
          <w:color w:val="171717" w:themeColor="background2" w:themeShade="1A"/>
        </w:rPr>
        <w:t>Cohort IV demonstrates a marked improvement. The percentage of disagreements was even smaller than in Cohort II (6%) and percentage of strong agreement rose sharply from 33% and 31% in Cohorts II and III, respectively, to 44% in Cohort IV</w:t>
      </w:r>
      <w:r w:rsidR="009E3E11">
        <w:rPr>
          <w:rFonts w:ascii="Cambria" w:hAnsi="Cambria"/>
          <w:color w:val="171717" w:themeColor="background2" w:themeShade="1A"/>
        </w:rPr>
        <w:t>.</w:t>
      </w:r>
      <w:r w:rsidR="008172BE">
        <w:rPr>
          <w:rFonts w:ascii="Cambria" w:hAnsi="Cambria"/>
          <w:color w:val="171717" w:themeColor="background2" w:themeShade="1A"/>
        </w:rPr>
        <w:t xml:space="preserve"> </w:t>
      </w:r>
      <w:bookmarkStart w:id="0" w:name="OLE_LINK3"/>
      <w:r w:rsidR="00BC5C0B">
        <w:rPr>
          <w:rFonts w:ascii="Cambria" w:hAnsi="Cambria"/>
          <w:color w:val="171717" w:themeColor="background2" w:themeShade="1A"/>
        </w:rPr>
        <w:t>In Cohort V, the percent of participants who disagree</w:t>
      </w:r>
      <w:r w:rsidR="00D503D7">
        <w:rPr>
          <w:rFonts w:ascii="Cambria" w:hAnsi="Cambria"/>
          <w:color w:val="171717" w:themeColor="background2" w:themeShade="1A"/>
        </w:rPr>
        <w:t>d</w:t>
      </w:r>
      <w:r w:rsidR="00BC5C0B">
        <w:rPr>
          <w:rFonts w:ascii="Cambria" w:hAnsi="Cambria"/>
          <w:color w:val="171717" w:themeColor="background2" w:themeShade="1A"/>
        </w:rPr>
        <w:t xml:space="preserve"> with the statement ticked up again to 11% while the vast majority still agreed (36%) or strongly agreed (53%). </w:t>
      </w:r>
      <w:r w:rsidR="008172BE">
        <w:rPr>
          <w:rFonts w:ascii="Cambria" w:hAnsi="Cambria"/>
          <w:color w:val="171717" w:themeColor="background2" w:themeShade="1A"/>
        </w:rPr>
        <w:t xml:space="preserve">This information is captured in Figure 2. </w:t>
      </w:r>
      <w:bookmarkEnd w:id="0"/>
    </w:p>
    <w:p w14:paraId="6AA0B20E" w14:textId="77777777" w:rsidR="00D503D7" w:rsidRDefault="00D503D7">
      <w:pPr>
        <w:rPr>
          <w:rFonts w:ascii="Cambria" w:hAnsi="Cambria"/>
          <w:b/>
          <w:bCs/>
          <w:color w:val="171717" w:themeColor="background2" w:themeShade="1A"/>
        </w:rPr>
      </w:pPr>
    </w:p>
    <w:p w14:paraId="13D2D8C3" w14:textId="39EB27D0" w:rsidR="0094517E" w:rsidRPr="00BF5C57" w:rsidRDefault="0094517E">
      <w:pPr>
        <w:rPr>
          <w:rFonts w:ascii="Cambria" w:hAnsi="Cambria"/>
          <w:b/>
          <w:bCs/>
          <w:color w:val="171717" w:themeColor="background2" w:themeShade="1A"/>
        </w:rPr>
      </w:pPr>
      <w:r>
        <w:rPr>
          <w:rFonts w:ascii="Cambria" w:hAnsi="Cambria"/>
          <w:b/>
          <w:bCs/>
          <w:color w:val="171717" w:themeColor="background2" w:themeShade="1A"/>
        </w:rPr>
        <w:t>Figure</w:t>
      </w:r>
      <w:r w:rsidRPr="00AB7FA6">
        <w:rPr>
          <w:rFonts w:ascii="Cambria" w:hAnsi="Cambria"/>
          <w:b/>
          <w:bCs/>
          <w:color w:val="171717" w:themeColor="background2" w:themeShade="1A"/>
        </w:rPr>
        <w:t xml:space="preserve"> </w:t>
      </w:r>
      <w:r>
        <w:rPr>
          <w:rFonts w:ascii="Cambria" w:hAnsi="Cambria"/>
          <w:b/>
          <w:bCs/>
          <w:color w:val="171717" w:themeColor="background2" w:themeShade="1A"/>
        </w:rPr>
        <w:t>2</w:t>
      </w:r>
      <w:r w:rsidRPr="00AB7FA6">
        <w:rPr>
          <w:rFonts w:ascii="Cambria" w:hAnsi="Cambria"/>
          <w:b/>
          <w:bCs/>
          <w:color w:val="171717" w:themeColor="background2" w:themeShade="1A"/>
        </w:rPr>
        <w:t xml:space="preserve">. Perceptions of Program Quality </w:t>
      </w:r>
      <w:r w:rsidR="00BC5C0B">
        <w:rPr>
          <w:rFonts w:ascii="Cambria" w:hAnsi="Cambria"/>
          <w:b/>
          <w:bCs/>
          <w:color w:val="171717" w:themeColor="background2" w:themeShade="1A"/>
        </w:rPr>
        <w:t>for Item 2</w:t>
      </w:r>
    </w:p>
    <w:p w14:paraId="481F9727" w14:textId="0D63222B" w:rsidR="009E2FB1" w:rsidRDefault="00BC5C0B">
      <w:pPr>
        <w:rPr>
          <w:rFonts w:ascii="Cambria" w:hAnsi="Cambria"/>
          <w:b/>
          <w:bCs/>
          <w:color w:val="171717" w:themeColor="background2" w:themeShade="1A"/>
        </w:rPr>
      </w:pPr>
      <w:bookmarkStart w:id="1" w:name="OLE_LINK2"/>
      <w:r>
        <w:rPr>
          <w:noProof/>
        </w:rPr>
        <w:lastRenderedPageBreak/>
        <w:drawing>
          <wp:inline distT="0" distB="0" distL="0" distR="0" wp14:anchorId="1F5EB7C1" wp14:editId="74E827DB">
            <wp:extent cx="5943600" cy="3402965"/>
            <wp:effectExtent l="0" t="0" r="12700" b="13335"/>
            <wp:docPr id="776986965" name="Chart 1">
              <a:extLst xmlns:a="http://schemas.openxmlformats.org/drawingml/2006/main">
                <a:ext uri="{FF2B5EF4-FFF2-40B4-BE49-F238E27FC236}">
                  <a16:creationId xmlns:a16="http://schemas.microsoft.com/office/drawing/2014/main" id="{DC2FA206-933A-5015-4904-85A6162FDD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58C0061" w14:textId="77777777" w:rsidR="009E2FB1" w:rsidRPr="00BF5C57" w:rsidRDefault="009E2FB1">
      <w:pPr>
        <w:rPr>
          <w:rFonts w:ascii="Cambria" w:hAnsi="Cambria"/>
          <w:b/>
          <w:bCs/>
          <w:color w:val="171717" w:themeColor="background2" w:themeShade="1A"/>
          <w:sz w:val="16"/>
          <w:szCs w:val="16"/>
        </w:rPr>
      </w:pPr>
    </w:p>
    <w:bookmarkEnd w:id="1"/>
    <w:p w14:paraId="0ED7BCB0" w14:textId="52ADA76C" w:rsidR="002707EB" w:rsidRPr="00661D15" w:rsidRDefault="00264F0A" w:rsidP="002707EB">
      <w:pPr>
        <w:rPr>
          <w:rFonts w:ascii="Cambria" w:hAnsi="Cambria"/>
          <w:i/>
          <w:iCs/>
          <w:color w:val="171717" w:themeColor="background2" w:themeShade="1A"/>
        </w:rPr>
      </w:pPr>
      <w:r>
        <w:rPr>
          <w:rFonts w:ascii="Cambria" w:hAnsi="Cambria"/>
          <w:i/>
          <w:iCs/>
          <w:color w:val="171717" w:themeColor="background2" w:themeShade="1A"/>
        </w:rPr>
        <w:t>It</w:t>
      </w:r>
      <w:r w:rsidR="002707EB" w:rsidRPr="00661D15">
        <w:rPr>
          <w:rFonts w:ascii="Cambria" w:hAnsi="Cambria"/>
          <w:i/>
          <w:iCs/>
          <w:color w:val="171717" w:themeColor="background2" w:themeShade="1A"/>
        </w:rPr>
        <w:t>em 3. Perceptions of Professional Learning Stimulation</w:t>
      </w:r>
    </w:p>
    <w:p w14:paraId="22A0BC5C" w14:textId="05145D39" w:rsidR="005608E2" w:rsidRDefault="008C440B" w:rsidP="002707EB">
      <w:pPr>
        <w:rPr>
          <w:rFonts w:ascii="Cambria" w:hAnsi="Cambria"/>
          <w:color w:val="171717" w:themeColor="background2" w:themeShade="1A"/>
        </w:rPr>
      </w:pPr>
      <w:r>
        <w:rPr>
          <w:rFonts w:ascii="Cambria" w:hAnsi="Cambria"/>
          <w:color w:val="171717" w:themeColor="background2" w:themeShade="1A"/>
        </w:rPr>
        <w:tab/>
      </w:r>
      <w:r w:rsidR="002707EB">
        <w:rPr>
          <w:rFonts w:ascii="Cambria" w:hAnsi="Cambria"/>
          <w:color w:val="171717" w:themeColor="background2" w:themeShade="1A"/>
        </w:rPr>
        <w:t>When asked if participating in program activities stimulated their professional learning, again, most of the participants (8</w:t>
      </w:r>
      <w:r w:rsidR="00014DF5">
        <w:rPr>
          <w:rFonts w:ascii="Cambria" w:hAnsi="Cambria"/>
          <w:color w:val="171717" w:themeColor="background2" w:themeShade="1A"/>
        </w:rPr>
        <w:t>3</w:t>
      </w:r>
      <w:r w:rsidR="002707EB">
        <w:rPr>
          <w:rFonts w:ascii="Cambria" w:hAnsi="Cambria"/>
          <w:color w:val="171717" w:themeColor="background2" w:themeShade="1A"/>
        </w:rPr>
        <w:t>% in Cohort II and 92% in Cohort III) agreed or strongly agreed.</w:t>
      </w:r>
      <w:r w:rsidR="008172BE">
        <w:rPr>
          <w:rFonts w:ascii="Cambria" w:hAnsi="Cambria"/>
          <w:color w:val="171717" w:themeColor="background2" w:themeShade="1A"/>
        </w:rPr>
        <w:t xml:space="preserve"> This number increased to 100% for Cohort IV.</w:t>
      </w:r>
      <w:r w:rsidR="002707EB">
        <w:rPr>
          <w:rFonts w:ascii="Cambria" w:hAnsi="Cambria"/>
          <w:color w:val="171717" w:themeColor="background2" w:themeShade="1A"/>
        </w:rPr>
        <w:t xml:space="preserve"> The percentage of participants who disagreed was small for </w:t>
      </w:r>
      <w:r w:rsidR="008172BE">
        <w:rPr>
          <w:rFonts w:ascii="Cambria" w:hAnsi="Cambria"/>
          <w:color w:val="171717" w:themeColor="background2" w:themeShade="1A"/>
        </w:rPr>
        <w:t>Cohorts II and III</w:t>
      </w:r>
      <w:r w:rsidR="002707EB">
        <w:rPr>
          <w:rFonts w:ascii="Cambria" w:hAnsi="Cambria"/>
          <w:color w:val="171717" w:themeColor="background2" w:themeShade="1A"/>
        </w:rPr>
        <w:t>, but noticeably smaller for Cohort III. The percentage of participants who did not feel that MiPAC stimulated their professional learning was cut in half from Cohort II (1</w:t>
      </w:r>
      <w:r w:rsidR="00A9125D">
        <w:rPr>
          <w:rFonts w:ascii="Cambria" w:hAnsi="Cambria"/>
          <w:color w:val="171717" w:themeColor="background2" w:themeShade="1A"/>
        </w:rPr>
        <w:t>7</w:t>
      </w:r>
      <w:r w:rsidR="002707EB">
        <w:rPr>
          <w:rFonts w:ascii="Cambria" w:hAnsi="Cambria"/>
          <w:color w:val="171717" w:themeColor="background2" w:themeShade="1A"/>
        </w:rPr>
        <w:t>%) to Cohort III (8%)</w:t>
      </w:r>
      <w:r w:rsidR="008172BE">
        <w:rPr>
          <w:rFonts w:ascii="Cambria" w:hAnsi="Cambria"/>
          <w:color w:val="171717" w:themeColor="background2" w:themeShade="1A"/>
        </w:rPr>
        <w:t xml:space="preserve"> and then to 0% in Cohort IV. The percentage of strong agreement rose sharply from Cohort II (33%) to Cohort III (69%) and declined modestly in Cohort IV (61%). </w:t>
      </w:r>
      <w:r w:rsidR="005608E2">
        <w:rPr>
          <w:rFonts w:ascii="Cambria" w:hAnsi="Cambria"/>
          <w:color w:val="171717" w:themeColor="background2" w:themeShade="1A"/>
        </w:rPr>
        <w:t>In Cohort V, one participant (5%) disagreed with this statement, but, as before, nearly all participants agreed (32%) or strongly agreed (63%) that participating in MiPAC stimulating their professional learning.</w:t>
      </w:r>
    </w:p>
    <w:p w14:paraId="77A547C9" w14:textId="5C39E63D" w:rsidR="002707EB" w:rsidRDefault="00CD6A21" w:rsidP="002707EB">
      <w:pPr>
        <w:rPr>
          <w:rFonts w:ascii="Cambria" w:hAnsi="Cambria"/>
          <w:color w:val="171717" w:themeColor="background2" w:themeShade="1A"/>
        </w:rPr>
      </w:pPr>
      <w:r>
        <w:rPr>
          <w:rFonts w:ascii="Cambria" w:hAnsi="Cambria"/>
          <w:color w:val="171717" w:themeColor="background2" w:themeShade="1A"/>
        </w:rPr>
        <w:t>This information is captured in Figure 3.</w:t>
      </w:r>
    </w:p>
    <w:p w14:paraId="2105B941" w14:textId="77777777" w:rsidR="00A67D7B" w:rsidRPr="00BF5C57" w:rsidRDefault="00A67D7B" w:rsidP="002707EB">
      <w:pPr>
        <w:rPr>
          <w:rFonts w:ascii="Cambria" w:hAnsi="Cambria"/>
          <w:color w:val="171717" w:themeColor="background2" w:themeShade="1A"/>
          <w:sz w:val="16"/>
          <w:szCs w:val="16"/>
        </w:rPr>
      </w:pPr>
    </w:p>
    <w:p w14:paraId="2EB78032" w14:textId="77777777" w:rsidR="005608E2" w:rsidRDefault="005608E2" w:rsidP="002707EB">
      <w:pPr>
        <w:rPr>
          <w:rFonts w:ascii="Cambria" w:hAnsi="Cambria"/>
          <w:b/>
          <w:bCs/>
          <w:color w:val="171717" w:themeColor="background2" w:themeShade="1A"/>
        </w:rPr>
      </w:pPr>
    </w:p>
    <w:p w14:paraId="1A1ADDD2" w14:textId="77777777" w:rsidR="005608E2" w:rsidRDefault="005608E2" w:rsidP="002707EB">
      <w:pPr>
        <w:rPr>
          <w:rFonts w:ascii="Cambria" w:hAnsi="Cambria"/>
          <w:b/>
          <w:bCs/>
          <w:color w:val="171717" w:themeColor="background2" w:themeShade="1A"/>
        </w:rPr>
      </w:pPr>
    </w:p>
    <w:p w14:paraId="3FEF53D7" w14:textId="77777777" w:rsidR="005608E2" w:rsidRDefault="005608E2" w:rsidP="002707EB">
      <w:pPr>
        <w:rPr>
          <w:rFonts w:ascii="Cambria" w:hAnsi="Cambria"/>
          <w:b/>
          <w:bCs/>
          <w:color w:val="171717" w:themeColor="background2" w:themeShade="1A"/>
        </w:rPr>
      </w:pPr>
    </w:p>
    <w:p w14:paraId="59375006" w14:textId="77777777" w:rsidR="005608E2" w:rsidRDefault="005608E2" w:rsidP="002707EB">
      <w:pPr>
        <w:rPr>
          <w:rFonts w:ascii="Cambria" w:hAnsi="Cambria"/>
          <w:b/>
          <w:bCs/>
          <w:color w:val="171717" w:themeColor="background2" w:themeShade="1A"/>
        </w:rPr>
      </w:pPr>
    </w:p>
    <w:p w14:paraId="0C15A0F9" w14:textId="77777777" w:rsidR="005608E2" w:rsidRDefault="005608E2" w:rsidP="002707EB">
      <w:pPr>
        <w:rPr>
          <w:rFonts w:ascii="Cambria" w:hAnsi="Cambria"/>
          <w:b/>
          <w:bCs/>
          <w:color w:val="171717" w:themeColor="background2" w:themeShade="1A"/>
        </w:rPr>
      </w:pPr>
    </w:p>
    <w:p w14:paraId="0FE7FBA8" w14:textId="77777777" w:rsidR="005608E2" w:rsidRDefault="005608E2" w:rsidP="002707EB">
      <w:pPr>
        <w:rPr>
          <w:rFonts w:ascii="Cambria" w:hAnsi="Cambria"/>
          <w:b/>
          <w:bCs/>
          <w:color w:val="171717" w:themeColor="background2" w:themeShade="1A"/>
        </w:rPr>
      </w:pPr>
    </w:p>
    <w:p w14:paraId="1FA987FA" w14:textId="77777777" w:rsidR="005608E2" w:rsidRDefault="005608E2" w:rsidP="002707EB">
      <w:pPr>
        <w:rPr>
          <w:rFonts w:ascii="Cambria" w:hAnsi="Cambria"/>
          <w:b/>
          <w:bCs/>
          <w:color w:val="171717" w:themeColor="background2" w:themeShade="1A"/>
        </w:rPr>
      </w:pPr>
    </w:p>
    <w:p w14:paraId="2CFD0EA7" w14:textId="77777777" w:rsidR="005608E2" w:rsidRDefault="005608E2" w:rsidP="002707EB">
      <w:pPr>
        <w:rPr>
          <w:rFonts w:ascii="Cambria" w:hAnsi="Cambria"/>
          <w:b/>
          <w:bCs/>
          <w:color w:val="171717" w:themeColor="background2" w:themeShade="1A"/>
        </w:rPr>
      </w:pPr>
    </w:p>
    <w:p w14:paraId="7488FD59" w14:textId="77777777" w:rsidR="005608E2" w:rsidRDefault="005608E2" w:rsidP="002707EB">
      <w:pPr>
        <w:rPr>
          <w:rFonts w:ascii="Cambria" w:hAnsi="Cambria"/>
          <w:b/>
          <w:bCs/>
          <w:color w:val="171717" w:themeColor="background2" w:themeShade="1A"/>
        </w:rPr>
      </w:pPr>
    </w:p>
    <w:p w14:paraId="3EE5BDF0" w14:textId="77777777" w:rsidR="005608E2" w:rsidRDefault="005608E2" w:rsidP="002707EB">
      <w:pPr>
        <w:rPr>
          <w:rFonts w:ascii="Cambria" w:hAnsi="Cambria"/>
          <w:b/>
          <w:bCs/>
          <w:color w:val="171717" w:themeColor="background2" w:themeShade="1A"/>
        </w:rPr>
      </w:pPr>
    </w:p>
    <w:p w14:paraId="3B57DC73" w14:textId="77777777" w:rsidR="005608E2" w:rsidRDefault="005608E2" w:rsidP="002707EB">
      <w:pPr>
        <w:rPr>
          <w:rFonts w:ascii="Cambria" w:hAnsi="Cambria"/>
          <w:b/>
          <w:bCs/>
          <w:color w:val="171717" w:themeColor="background2" w:themeShade="1A"/>
        </w:rPr>
      </w:pPr>
    </w:p>
    <w:p w14:paraId="23677BEE" w14:textId="77777777" w:rsidR="005608E2" w:rsidRDefault="005608E2" w:rsidP="002707EB">
      <w:pPr>
        <w:rPr>
          <w:rFonts w:ascii="Cambria" w:hAnsi="Cambria"/>
          <w:b/>
          <w:bCs/>
          <w:color w:val="171717" w:themeColor="background2" w:themeShade="1A"/>
        </w:rPr>
      </w:pPr>
    </w:p>
    <w:p w14:paraId="385DE060" w14:textId="75A05846" w:rsidR="008172BE" w:rsidRPr="00BF5C57" w:rsidRDefault="008172BE" w:rsidP="002707EB">
      <w:pPr>
        <w:rPr>
          <w:rFonts w:ascii="Cambria" w:hAnsi="Cambria"/>
          <w:b/>
          <w:bCs/>
          <w:color w:val="171717" w:themeColor="background2" w:themeShade="1A"/>
        </w:rPr>
      </w:pPr>
      <w:r>
        <w:rPr>
          <w:rFonts w:ascii="Cambria" w:hAnsi="Cambria"/>
          <w:b/>
          <w:bCs/>
          <w:color w:val="171717" w:themeColor="background2" w:themeShade="1A"/>
        </w:rPr>
        <w:t>Figure</w:t>
      </w:r>
      <w:r w:rsidRPr="00AB7FA6">
        <w:rPr>
          <w:rFonts w:ascii="Cambria" w:hAnsi="Cambria"/>
          <w:b/>
          <w:bCs/>
          <w:color w:val="171717" w:themeColor="background2" w:themeShade="1A"/>
        </w:rPr>
        <w:t xml:space="preserve"> </w:t>
      </w:r>
      <w:r>
        <w:rPr>
          <w:rFonts w:ascii="Cambria" w:hAnsi="Cambria"/>
          <w:b/>
          <w:bCs/>
          <w:color w:val="171717" w:themeColor="background2" w:themeShade="1A"/>
        </w:rPr>
        <w:t>3</w:t>
      </w:r>
      <w:r w:rsidRPr="00AB7FA6">
        <w:rPr>
          <w:rFonts w:ascii="Cambria" w:hAnsi="Cambria"/>
          <w:b/>
          <w:bCs/>
          <w:color w:val="171717" w:themeColor="background2" w:themeShade="1A"/>
        </w:rPr>
        <w:t xml:space="preserve">. Perceptions of Program Quality </w:t>
      </w:r>
      <w:r>
        <w:rPr>
          <w:rFonts w:ascii="Cambria" w:hAnsi="Cambria"/>
          <w:b/>
          <w:bCs/>
          <w:color w:val="171717" w:themeColor="background2" w:themeShade="1A"/>
        </w:rPr>
        <w:t>for Item 3</w:t>
      </w:r>
    </w:p>
    <w:p w14:paraId="374C8958" w14:textId="2F2289AA" w:rsidR="008172BE" w:rsidRDefault="005608E2" w:rsidP="002707EB">
      <w:pPr>
        <w:rPr>
          <w:rFonts w:ascii="Cambria" w:hAnsi="Cambria"/>
          <w:color w:val="171717" w:themeColor="background2" w:themeShade="1A"/>
        </w:rPr>
      </w:pPr>
      <w:r>
        <w:rPr>
          <w:noProof/>
        </w:rPr>
        <w:lastRenderedPageBreak/>
        <w:drawing>
          <wp:inline distT="0" distB="0" distL="0" distR="0" wp14:anchorId="7A9117E5" wp14:editId="5252FF31">
            <wp:extent cx="6163519" cy="3125164"/>
            <wp:effectExtent l="0" t="0" r="8890" b="12065"/>
            <wp:docPr id="1240896500" name="Chart 1">
              <a:extLst xmlns:a="http://schemas.openxmlformats.org/drawingml/2006/main">
                <a:ext uri="{FF2B5EF4-FFF2-40B4-BE49-F238E27FC236}">
                  <a16:creationId xmlns:a16="http://schemas.microsoft.com/office/drawing/2014/main" id="{8FB926CA-D2CB-8C44-B81C-5D1CD2F930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ABFF218" w14:textId="77777777" w:rsidR="002707EB" w:rsidRDefault="002707EB" w:rsidP="002707EB">
      <w:pPr>
        <w:rPr>
          <w:rFonts w:ascii="Cambria" w:hAnsi="Cambria"/>
          <w:color w:val="171717" w:themeColor="background2" w:themeShade="1A"/>
        </w:rPr>
      </w:pPr>
    </w:p>
    <w:p w14:paraId="1ED7F726" w14:textId="5B080185" w:rsidR="002707EB" w:rsidRDefault="002707EB" w:rsidP="002707EB">
      <w:pPr>
        <w:rPr>
          <w:rFonts w:ascii="Cambria" w:hAnsi="Cambria"/>
          <w:color w:val="171717" w:themeColor="background2" w:themeShade="1A"/>
        </w:rPr>
      </w:pPr>
      <w:r w:rsidRPr="00661D15">
        <w:rPr>
          <w:rFonts w:ascii="Cambria" w:hAnsi="Cambria"/>
          <w:i/>
          <w:iCs/>
          <w:color w:val="171717" w:themeColor="background2" w:themeShade="1A"/>
        </w:rPr>
        <w:t>Item 4. Knowledge of Performance Assessment</w:t>
      </w:r>
    </w:p>
    <w:p w14:paraId="21D7CBFB" w14:textId="6672D31E" w:rsidR="002707EB" w:rsidRDefault="002707EB" w:rsidP="002707EB">
      <w:pPr>
        <w:rPr>
          <w:rFonts w:ascii="Cambria" w:hAnsi="Cambria"/>
          <w:color w:val="171717" w:themeColor="background2" w:themeShade="1A"/>
        </w:rPr>
      </w:pPr>
      <w:r>
        <w:rPr>
          <w:rFonts w:ascii="Cambria" w:hAnsi="Cambria"/>
          <w:color w:val="171717" w:themeColor="background2" w:themeShade="1A"/>
        </w:rPr>
        <w:t xml:space="preserve">The fourth item asked for participants’ perception about whether they knew more about performance assessment </w:t>
      </w:r>
      <w:proofErr w:type="gramStart"/>
      <w:r>
        <w:rPr>
          <w:rFonts w:ascii="Cambria" w:hAnsi="Cambria"/>
          <w:color w:val="171717" w:themeColor="background2" w:themeShade="1A"/>
        </w:rPr>
        <w:t>as a result of</w:t>
      </w:r>
      <w:proofErr w:type="gramEnd"/>
      <w:r>
        <w:rPr>
          <w:rFonts w:ascii="Cambria" w:hAnsi="Cambria"/>
          <w:color w:val="171717" w:themeColor="background2" w:themeShade="1A"/>
        </w:rPr>
        <w:t xml:space="preserve"> their participation in MiPAC. The participants who did not feel they knew more about performance assessment was low for </w:t>
      </w:r>
      <w:r w:rsidR="001602F8">
        <w:rPr>
          <w:rFonts w:ascii="Cambria" w:hAnsi="Cambria"/>
          <w:color w:val="171717" w:themeColor="background2" w:themeShade="1A"/>
        </w:rPr>
        <w:t>all</w:t>
      </w:r>
      <w:r w:rsidR="00ED41AD">
        <w:rPr>
          <w:rFonts w:ascii="Cambria" w:hAnsi="Cambria"/>
          <w:color w:val="171717" w:themeColor="background2" w:themeShade="1A"/>
        </w:rPr>
        <w:t xml:space="preserve"> four</w:t>
      </w:r>
      <w:r w:rsidR="001602F8">
        <w:rPr>
          <w:rFonts w:ascii="Cambria" w:hAnsi="Cambria"/>
          <w:color w:val="171717" w:themeColor="background2" w:themeShade="1A"/>
        </w:rPr>
        <w:t xml:space="preserve"> </w:t>
      </w:r>
      <w:r>
        <w:rPr>
          <w:rFonts w:ascii="Cambria" w:hAnsi="Cambria"/>
          <w:color w:val="171717" w:themeColor="background2" w:themeShade="1A"/>
        </w:rPr>
        <w:t>Cohorts.</w:t>
      </w:r>
      <w:r w:rsidR="001602F8">
        <w:rPr>
          <w:rFonts w:ascii="Cambria" w:hAnsi="Cambria"/>
          <w:color w:val="171717" w:themeColor="background2" w:themeShade="1A"/>
        </w:rPr>
        <w:t xml:space="preserve"> After increasing from 16% to 23% from Cohorts II to III, the percentage of disagreement decreased sharply in Cohort IV to </w:t>
      </w:r>
      <w:r w:rsidR="003C32B0">
        <w:rPr>
          <w:rFonts w:ascii="Cambria" w:hAnsi="Cambria"/>
          <w:color w:val="171717" w:themeColor="background2" w:themeShade="1A"/>
        </w:rPr>
        <w:t>0% but</w:t>
      </w:r>
      <w:r w:rsidR="00ED41AD">
        <w:rPr>
          <w:rFonts w:ascii="Cambria" w:hAnsi="Cambria"/>
          <w:color w:val="171717" w:themeColor="background2" w:themeShade="1A"/>
        </w:rPr>
        <w:t xml:space="preserve"> then rose modestly in Cohort V to 5 percent</w:t>
      </w:r>
      <w:r w:rsidR="001602F8">
        <w:rPr>
          <w:rFonts w:ascii="Cambria" w:hAnsi="Cambria"/>
          <w:color w:val="171717" w:themeColor="background2" w:themeShade="1A"/>
        </w:rPr>
        <w:t>.</w:t>
      </w:r>
      <w:r>
        <w:rPr>
          <w:rFonts w:ascii="Cambria" w:hAnsi="Cambria"/>
          <w:color w:val="171717" w:themeColor="background2" w:themeShade="1A"/>
        </w:rPr>
        <w:t xml:space="preserve"> </w:t>
      </w:r>
      <w:r w:rsidR="00D86733">
        <w:rPr>
          <w:rFonts w:ascii="Cambria" w:hAnsi="Cambria"/>
          <w:color w:val="171717" w:themeColor="background2" w:themeShade="1A"/>
        </w:rPr>
        <w:t>Furthermore, the percentage of strong agreement with this statement held steady from Cohort II to Cohort III (33%, 38%),</w:t>
      </w:r>
      <w:r w:rsidR="00ED41AD">
        <w:rPr>
          <w:rFonts w:ascii="Cambria" w:hAnsi="Cambria"/>
          <w:color w:val="171717" w:themeColor="background2" w:themeShade="1A"/>
        </w:rPr>
        <w:t xml:space="preserve"> </w:t>
      </w:r>
      <w:r w:rsidR="00D86733">
        <w:rPr>
          <w:rFonts w:ascii="Cambria" w:hAnsi="Cambria"/>
          <w:color w:val="171717" w:themeColor="background2" w:themeShade="1A"/>
        </w:rPr>
        <w:t>increased considerably in Cohort IV (</w:t>
      </w:r>
      <w:r w:rsidR="004F7DBC">
        <w:rPr>
          <w:rFonts w:ascii="Cambria" w:hAnsi="Cambria"/>
          <w:color w:val="171717" w:themeColor="background2" w:themeShade="1A"/>
        </w:rPr>
        <w:t>61</w:t>
      </w:r>
      <w:r w:rsidR="00D86733">
        <w:rPr>
          <w:rFonts w:ascii="Cambria" w:hAnsi="Cambria"/>
          <w:color w:val="171717" w:themeColor="background2" w:themeShade="1A"/>
        </w:rPr>
        <w:t>%)</w:t>
      </w:r>
      <w:r w:rsidR="00ED41AD">
        <w:rPr>
          <w:rFonts w:ascii="Cambria" w:hAnsi="Cambria"/>
          <w:color w:val="171717" w:themeColor="background2" w:themeShade="1A"/>
        </w:rPr>
        <w:t>, and decreased slightly to 58% for Cohort V</w:t>
      </w:r>
      <w:r w:rsidR="00D86733">
        <w:rPr>
          <w:rFonts w:ascii="Cambria" w:hAnsi="Cambria"/>
          <w:color w:val="171717" w:themeColor="background2" w:themeShade="1A"/>
        </w:rPr>
        <w:t>.</w:t>
      </w:r>
      <w:r w:rsidR="00CD6A21">
        <w:rPr>
          <w:rFonts w:ascii="Cambria" w:hAnsi="Cambria"/>
          <w:color w:val="171717" w:themeColor="background2" w:themeShade="1A"/>
        </w:rPr>
        <w:t xml:space="preserve"> </w:t>
      </w:r>
      <w:r w:rsidR="003C32B0">
        <w:rPr>
          <w:rFonts w:ascii="Cambria" w:hAnsi="Cambria"/>
          <w:color w:val="171717" w:themeColor="background2" w:themeShade="1A"/>
        </w:rPr>
        <w:t>Note that this item might show a confoundin</w:t>
      </w:r>
      <w:r w:rsidR="00001D3E">
        <w:rPr>
          <w:rFonts w:ascii="Cambria" w:hAnsi="Cambria"/>
          <w:color w:val="171717" w:themeColor="background2" w:themeShade="1A"/>
        </w:rPr>
        <w:t>g</w:t>
      </w:r>
      <w:r w:rsidR="003C32B0">
        <w:rPr>
          <w:rFonts w:ascii="Cambria" w:hAnsi="Cambria"/>
          <w:color w:val="171717" w:themeColor="background2" w:themeShade="1A"/>
        </w:rPr>
        <w:t xml:space="preserve"> effect of multi-year MiPAC participation. </w:t>
      </w:r>
      <w:r w:rsidR="00CD6A21">
        <w:rPr>
          <w:rFonts w:ascii="Cambria" w:hAnsi="Cambria"/>
          <w:color w:val="171717" w:themeColor="background2" w:themeShade="1A"/>
        </w:rPr>
        <w:t xml:space="preserve">This information is captured in Figure 4. </w:t>
      </w:r>
    </w:p>
    <w:p w14:paraId="6D6EA34B" w14:textId="77777777" w:rsidR="008C440B" w:rsidRDefault="008C440B" w:rsidP="002707EB">
      <w:pPr>
        <w:rPr>
          <w:rFonts w:ascii="Cambria" w:hAnsi="Cambria"/>
          <w:color w:val="171717" w:themeColor="background2" w:themeShade="1A"/>
        </w:rPr>
      </w:pPr>
    </w:p>
    <w:p w14:paraId="5D6F9300" w14:textId="77777777" w:rsidR="00D503D7" w:rsidRDefault="00D503D7" w:rsidP="002707EB">
      <w:pPr>
        <w:rPr>
          <w:rFonts w:ascii="Cambria" w:hAnsi="Cambria"/>
          <w:b/>
          <w:bCs/>
          <w:color w:val="171717" w:themeColor="background2" w:themeShade="1A"/>
        </w:rPr>
      </w:pPr>
    </w:p>
    <w:p w14:paraId="2C2769E2" w14:textId="77777777" w:rsidR="00D503D7" w:rsidRDefault="00D503D7" w:rsidP="002707EB">
      <w:pPr>
        <w:rPr>
          <w:rFonts w:ascii="Cambria" w:hAnsi="Cambria"/>
          <w:b/>
          <w:bCs/>
          <w:color w:val="171717" w:themeColor="background2" w:themeShade="1A"/>
        </w:rPr>
      </w:pPr>
    </w:p>
    <w:p w14:paraId="028DD4F6" w14:textId="77777777" w:rsidR="00D503D7" w:rsidRDefault="00D503D7" w:rsidP="002707EB">
      <w:pPr>
        <w:rPr>
          <w:rFonts w:ascii="Cambria" w:hAnsi="Cambria"/>
          <w:b/>
          <w:bCs/>
          <w:color w:val="171717" w:themeColor="background2" w:themeShade="1A"/>
        </w:rPr>
      </w:pPr>
    </w:p>
    <w:p w14:paraId="44AD24D4" w14:textId="77777777" w:rsidR="00D503D7" w:rsidRDefault="00D503D7" w:rsidP="002707EB">
      <w:pPr>
        <w:rPr>
          <w:rFonts w:ascii="Cambria" w:hAnsi="Cambria"/>
          <w:b/>
          <w:bCs/>
          <w:color w:val="171717" w:themeColor="background2" w:themeShade="1A"/>
        </w:rPr>
      </w:pPr>
    </w:p>
    <w:p w14:paraId="3FE4B1C5" w14:textId="77777777" w:rsidR="00D503D7" w:rsidRDefault="00D503D7" w:rsidP="002707EB">
      <w:pPr>
        <w:rPr>
          <w:rFonts w:ascii="Cambria" w:hAnsi="Cambria"/>
          <w:b/>
          <w:bCs/>
          <w:color w:val="171717" w:themeColor="background2" w:themeShade="1A"/>
        </w:rPr>
      </w:pPr>
    </w:p>
    <w:p w14:paraId="52E84E30" w14:textId="77777777" w:rsidR="00D503D7" w:rsidRDefault="00D503D7" w:rsidP="002707EB">
      <w:pPr>
        <w:rPr>
          <w:rFonts w:ascii="Cambria" w:hAnsi="Cambria"/>
          <w:b/>
          <w:bCs/>
          <w:color w:val="171717" w:themeColor="background2" w:themeShade="1A"/>
        </w:rPr>
      </w:pPr>
    </w:p>
    <w:p w14:paraId="2AD20F97" w14:textId="77777777" w:rsidR="00D503D7" w:rsidRDefault="00D503D7" w:rsidP="002707EB">
      <w:pPr>
        <w:rPr>
          <w:rFonts w:ascii="Cambria" w:hAnsi="Cambria"/>
          <w:b/>
          <w:bCs/>
          <w:color w:val="171717" w:themeColor="background2" w:themeShade="1A"/>
        </w:rPr>
      </w:pPr>
    </w:p>
    <w:p w14:paraId="7E6ED4ED" w14:textId="77777777" w:rsidR="00D503D7" w:rsidRDefault="00D503D7" w:rsidP="002707EB">
      <w:pPr>
        <w:rPr>
          <w:rFonts w:ascii="Cambria" w:hAnsi="Cambria"/>
          <w:b/>
          <w:bCs/>
          <w:color w:val="171717" w:themeColor="background2" w:themeShade="1A"/>
        </w:rPr>
      </w:pPr>
    </w:p>
    <w:p w14:paraId="6995FA69" w14:textId="77777777" w:rsidR="00D503D7" w:rsidRDefault="00D503D7" w:rsidP="002707EB">
      <w:pPr>
        <w:rPr>
          <w:rFonts w:ascii="Cambria" w:hAnsi="Cambria"/>
          <w:b/>
          <w:bCs/>
          <w:color w:val="171717" w:themeColor="background2" w:themeShade="1A"/>
        </w:rPr>
      </w:pPr>
    </w:p>
    <w:p w14:paraId="63427491" w14:textId="77777777" w:rsidR="00D503D7" w:rsidRDefault="00D503D7" w:rsidP="002707EB">
      <w:pPr>
        <w:rPr>
          <w:rFonts w:ascii="Cambria" w:hAnsi="Cambria"/>
          <w:b/>
          <w:bCs/>
          <w:color w:val="171717" w:themeColor="background2" w:themeShade="1A"/>
        </w:rPr>
      </w:pPr>
    </w:p>
    <w:p w14:paraId="5E94F3D3" w14:textId="77777777" w:rsidR="00D503D7" w:rsidRDefault="00D503D7" w:rsidP="002707EB">
      <w:pPr>
        <w:rPr>
          <w:rFonts w:ascii="Cambria" w:hAnsi="Cambria"/>
          <w:b/>
          <w:bCs/>
          <w:color w:val="171717" w:themeColor="background2" w:themeShade="1A"/>
        </w:rPr>
      </w:pPr>
    </w:p>
    <w:p w14:paraId="565582C8" w14:textId="77777777" w:rsidR="00D503D7" w:rsidRDefault="00D503D7" w:rsidP="002707EB">
      <w:pPr>
        <w:rPr>
          <w:rFonts w:ascii="Cambria" w:hAnsi="Cambria"/>
          <w:b/>
          <w:bCs/>
          <w:color w:val="171717" w:themeColor="background2" w:themeShade="1A"/>
        </w:rPr>
      </w:pPr>
    </w:p>
    <w:p w14:paraId="27B7F705" w14:textId="77777777" w:rsidR="00D503D7" w:rsidRDefault="00D503D7" w:rsidP="002707EB">
      <w:pPr>
        <w:rPr>
          <w:rFonts w:ascii="Cambria" w:hAnsi="Cambria"/>
          <w:b/>
          <w:bCs/>
          <w:color w:val="171717" w:themeColor="background2" w:themeShade="1A"/>
        </w:rPr>
      </w:pPr>
    </w:p>
    <w:p w14:paraId="3E67CB01" w14:textId="77777777" w:rsidR="00D503D7" w:rsidRDefault="00D503D7" w:rsidP="002707EB">
      <w:pPr>
        <w:rPr>
          <w:rFonts w:ascii="Cambria" w:hAnsi="Cambria"/>
          <w:b/>
          <w:bCs/>
          <w:color w:val="171717" w:themeColor="background2" w:themeShade="1A"/>
        </w:rPr>
      </w:pPr>
    </w:p>
    <w:p w14:paraId="5E4A9993" w14:textId="77777777" w:rsidR="00D503D7" w:rsidRDefault="00D503D7" w:rsidP="002707EB">
      <w:pPr>
        <w:rPr>
          <w:rFonts w:ascii="Cambria" w:hAnsi="Cambria"/>
          <w:b/>
          <w:bCs/>
          <w:color w:val="171717" w:themeColor="background2" w:themeShade="1A"/>
        </w:rPr>
      </w:pPr>
    </w:p>
    <w:p w14:paraId="6705D72B" w14:textId="77777777" w:rsidR="00D503D7" w:rsidRDefault="00D503D7" w:rsidP="002707EB">
      <w:pPr>
        <w:rPr>
          <w:rFonts w:ascii="Cambria" w:hAnsi="Cambria"/>
          <w:b/>
          <w:bCs/>
          <w:color w:val="171717" w:themeColor="background2" w:themeShade="1A"/>
        </w:rPr>
      </w:pPr>
    </w:p>
    <w:p w14:paraId="40944F87" w14:textId="400DA87F" w:rsidR="008C440B" w:rsidRPr="00BF5C57" w:rsidRDefault="00C56083" w:rsidP="002707EB">
      <w:pPr>
        <w:rPr>
          <w:rFonts w:ascii="Cambria" w:hAnsi="Cambria"/>
          <w:b/>
          <w:bCs/>
          <w:color w:val="171717" w:themeColor="background2" w:themeShade="1A"/>
        </w:rPr>
      </w:pPr>
      <w:r>
        <w:rPr>
          <w:rFonts w:ascii="Cambria" w:hAnsi="Cambria"/>
          <w:b/>
          <w:bCs/>
          <w:color w:val="171717" w:themeColor="background2" w:themeShade="1A"/>
        </w:rPr>
        <w:lastRenderedPageBreak/>
        <w:t>Figure</w:t>
      </w:r>
      <w:r w:rsidRPr="00AB7FA6">
        <w:rPr>
          <w:rFonts w:ascii="Cambria" w:hAnsi="Cambria"/>
          <w:b/>
          <w:bCs/>
          <w:color w:val="171717" w:themeColor="background2" w:themeShade="1A"/>
        </w:rPr>
        <w:t xml:space="preserve"> </w:t>
      </w:r>
      <w:r>
        <w:rPr>
          <w:rFonts w:ascii="Cambria" w:hAnsi="Cambria"/>
          <w:b/>
          <w:bCs/>
          <w:color w:val="171717" w:themeColor="background2" w:themeShade="1A"/>
        </w:rPr>
        <w:t>4</w:t>
      </w:r>
      <w:r w:rsidRPr="00AB7FA6">
        <w:rPr>
          <w:rFonts w:ascii="Cambria" w:hAnsi="Cambria"/>
          <w:b/>
          <w:bCs/>
          <w:color w:val="171717" w:themeColor="background2" w:themeShade="1A"/>
        </w:rPr>
        <w:t xml:space="preserve">. Perceptions of Program Quality </w:t>
      </w:r>
      <w:r>
        <w:rPr>
          <w:rFonts w:ascii="Cambria" w:hAnsi="Cambria"/>
          <w:b/>
          <w:bCs/>
          <w:color w:val="171717" w:themeColor="background2" w:themeShade="1A"/>
        </w:rPr>
        <w:t>for Item 4</w:t>
      </w:r>
    </w:p>
    <w:p w14:paraId="037714B3" w14:textId="0BE0978B" w:rsidR="008C440B" w:rsidRDefault="000F4D0C" w:rsidP="002707EB">
      <w:pPr>
        <w:rPr>
          <w:rFonts w:ascii="Cambria" w:hAnsi="Cambria"/>
          <w:color w:val="171717" w:themeColor="background2" w:themeShade="1A"/>
        </w:rPr>
      </w:pPr>
      <w:r>
        <w:rPr>
          <w:noProof/>
        </w:rPr>
        <w:drawing>
          <wp:inline distT="0" distB="0" distL="0" distR="0" wp14:anchorId="64969825" wp14:editId="4DB8E017">
            <wp:extent cx="6365907" cy="3136265"/>
            <wp:effectExtent l="0" t="0" r="9525" b="13335"/>
            <wp:docPr id="539493995" name="Chart 1">
              <a:extLst xmlns:a="http://schemas.openxmlformats.org/drawingml/2006/main">
                <a:ext uri="{FF2B5EF4-FFF2-40B4-BE49-F238E27FC236}">
                  <a16:creationId xmlns:a16="http://schemas.microsoft.com/office/drawing/2014/main" id="{C52F4E2F-F6A2-6146-9F97-5B6726206D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2CC8D9A" w14:textId="77777777" w:rsidR="00367A99" w:rsidRDefault="00367A99" w:rsidP="002707EB">
      <w:pPr>
        <w:rPr>
          <w:rFonts w:ascii="Cambria" w:hAnsi="Cambria"/>
          <w:color w:val="171717" w:themeColor="background2" w:themeShade="1A"/>
        </w:rPr>
      </w:pPr>
    </w:p>
    <w:p w14:paraId="6EB918F3" w14:textId="77777777" w:rsidR="002707EB" w:rsidRPr="00661D15" w:rsidRDefault="002707EB" w:rsidP="002707EB">
      <w:pPr>
        <w:rPr>
          <w:rFonts w:ascii="Cambria" w:hAnsi="Cambria"/>
          <w:i/>
          <w:iCs/>
          <w:color w:val="171717" w:themeColor="background2" w:themeShade="1A"/>
        </w:rPr>
      </w:pPr>
      <w:r w:rsidRPr="00661D15">
        <w:rPr>
          <w:rFonts w:ascii="Cambria" w:hAnsi="Cambria"/>
          <w:i/>
          <w:iCs/>
          <w:color w:val="171717" w:themeColor="background2" w:themeShade="1A"/>
        </w:rPr>
        <w:t>Summary for Items 1-4</w:t>
      </w:r>
    </w:p>
    <w:p w14:paraId="4DFF0808" w14:textId="77777777" w:rsidR="002707EB" w:rsidRDefault="002707EB" w:rsidP="002707EB">
      <w:pPr>
        <w:rPr>
          <w:rFonts w:ascii="Cambria" w:hAnsi="Cambria"/>
          <w:color w:val="171717" w:themeColor="background2" w:themeShade="1A"/>
        </w:rPr>
      </w:pPr>
    </w:p>
    <w:p w14:paraId="4BE3E828" w14:textId="1A2D177B" w:rsidR="002707EB" w:rsidRDefault="002707EB" w:rsidP="002707EB">
      <w:pPr>
        <w:rPr>
          <w:rFonts w:ascii="Cambria" w:hAnsi="Cambria"/>
          <w:color w:val="171717" w:themeColor="background2" w:themeShade="1A"/>
        </w:rPr>
      </w:pPr>
      <w:r>
        <w:rPr>
          <w:rFonts w:ascii="Cambria" w:hAnsi="Cambria"/>
          <w:color w:val="171717" w:themeColor="background2" w:themeShade="1A"/>
        </w:rPr>
        <w:t>The changes from Cohort II to Cohort III were mixed</w:t>
      </w:r>
      <w:r w:rsidR="00367A99">
        <w:rPr>
          <w:rFonts w:ascii="Cambria" w:hAnsi="Cambria"/>
          <w:color w:val="171717" w:themeColor="background2" w:themeShade="1A"/>
        </w:rPr>
        <w:t xml:space="preserve"> (again, the reader is encouraged to interpret these comparisons with caution because of the small sample size</w:t>
      </w:r>
      <w:r w:rsidR="00A11167">
        <w:rPr>
          <w:rFonts w:ascii="Cambria" w:hAnsi="Cambria"/>
          <w:color w:val="171717" w:themeColor="background2" w:themeShade="1A"/>
        </w:rPr>
        <w:t xml:space="preserve"> and continuing MiPAC participation</w:t>
      </w:r>
      <w:r w:rsidR="00367A99">
        <w:rPr>
          <w:rFonts w:ascii="Cambria" w:hAnsi="Cambria"/>
          <w:color w:val="171717" w:themeColor="background2" w:themeShade="1A"/>
        </w:rPr>
        <w:t>)</w:t>
      </w:r>
      <w:r>
        <w:rPr>
          <w:rFonts w:ascii="Cambria" w:hAnsi="Cambria"/>
          <w:color w:val="171717" w:themeColor="background2" w:themeShade="1A"/>
        </w:rPr>
        <w:t xml:space="preserve">. Cohort III participants felt more strongly about recommending MiPAC to a colleague and they felt more stimulated in their professional learning. However, Cohort III participants were somewhat more critical of learning session content and were more skeptical about the degree to which participation in MiPAC strengthened their knowledge of performance assessment. </w:t>
      </w:r>
      <w:r w:rsidR="004F7DBC">
        <w:rPr>
          <w:rFonts w:ascii="Cambria" w:hAnsi="Cambria"/>
          <w:color w:val="171717" w:themeColor="background2" w:themeShade="1A"/>
        </w:rPr>
        <w:t>Cohort IV members responded far more favorably to each of these four items almost universally. The only exception (the percentage of strong agreement in Cohort III versus Cohort IV for item 3) is modest.</w:t>
      </w:r>
      <w:r w:rsidR="00ED41AD">
        <w:rPr>
          <w:rFonts w:ascii="Cambria" w:hAnsi="Cambria"/>
          <w:color w:val="171717" w:themeColor="background2" w:themeShade="1A"/>
        </w:rPr>
        <w:t xml:space="preserve"> For Cohort V, the spike in agree/strong agreement held constant for the most part, although one participant consistently voiced disagreement. </w:t>
      </w:r>
    </w:p>
    <w:p w14:paraId="014E2ACA" w14:textId="77777777" w:rsidR="002707EB" w:rsidRDefault="002707EB" w:rsidP="002707EB">
      <w:pPr>
        <w:rPr>
          <w:rFonts w:ascii="Cambria" w:hAnsi="Cambria"/>
          <w:b/>
          <w:bCs/>
          <w:color w:val="171717" w:themeColor="background2" w:themeShade="1A"/>
        </w:rPr>
      </w:pPr>
    </w:p>
    <w:p w14:paraId="5B786241" w14:textId="3C62B43B" w:rsidR="00DA4F4C" w:rsidRPr="00AB7FA6" w:rsidRDefault="00DA4F4C" w:rsidP="00DA4F4C">
      <w:pPr>
        <w:rPr>
          <w:rFonts w:ascii="Cambria" w:hAnsi="Cambria"/>
          <w:i/>
          <w:iCs/>
          <w:color w:val="171717" w:themeColor="background2" w:themeShade="1A"/>
        </w:rPr>
      </w:pPr>
      <w:r w:rsidRPr="00AB7FA6">
        <w:rPr>
          <w:rFonts w:ascii="Cambria" w:hAnsi="Cambria"/>
          <w:i/>
          <w:iCs/>
          <w:color w:val="171717" w:themeColor="background2" w:themeShade="1A"/>
        </w:rPr>
        <w:t xml:space="preserve">Item 5. Perceptions of Knowledge of Performance Assessment Administration </w:t>
      </w:r>
    </w:p>
    <w:p w14:paraId="77C31927" w14:textId="77777777" w:rsidR="005A005A" w:rsidRDefault="005A005A" w:rsidP="00DA4F4C">
      <w:pPr>
        <w:rPr>
          <w:rFonts w:ascii="Cambria" w:hAnsi="Cambria"/>
          <w:color w:val="171717" w:themeColor="background2" w:themeShade="1A"/>
        </w:rPr>
      </w:pPr>
    </w:p>
    <w:p w14:paraId="49B549E6" w14:textId="42226F8F" w:rsidR="00CD5AD2" w:rsidRDefault="005A005A" w:rsidP="00CD5AD2">
      <w:pPr>
        <w:rPr>
          <w:rFonts w:ascii="Cambria" w:hAnsi="Cambria"/>
          <w:color w:val="171717" w:themeColor="background2" w:themeShade="1A"/>
        </w:rPr>
      </w:pPr>
      <w:r>
        <w:rPr>
          <w:rFonts w:ascii="Cambria" w:hAnsi="Cambria"/>
          <w:color w:val="171717" w:themeColor="background2" w:themeShade="1A"/>
        </w:rPr>
        <w:t xml:space="preserve">The percentage of participants who agreed or strongly agreed that participating in MiPAC increased their ability to effectively administer performance assessment exceeded 75% for both Cohort II and Cohort III participants. However, the percentage of participants who disagreed and felt that their administration skills had not improved essentially tripled between Cohort II (8%) and Cohort III (22%). </w:t>
      </w:r>
      <w:r w:rsidR="00472905">
        <w:rPr>
          <w:rFonts w:ascii="Cambria" w:hAnsi="Cambria"/>
          <w:color w:val="171717" w:themeColor="background2" w:themeShade="1A"/>
        </w:rPr>
        <w:t xml:space="preserve">Notably, the percent of disagreement fell to </w:t>
      </w:r>
      <w:r w:rsidR="00D503D7">
        <w:rPr>
          <w:rFonts w:ascii="Cambria" w:hAnsi="Cambria"/>
          <w:color w:val="171717" w:themeColor="background2" w:themeShade="1A"/>
        </w:rPr>
        <w:t>sharply in</w:t>
      </w:r>
      <w:r w:rsidR="00472905">
        <w:rPr>
          <w:rFonts w:ascii="Cambria" w:hAnsi="Cambria"/>
          <w:color w:val="171717" w:themeColor="background2" w:themeShade="1A"/>
        </w:rPr>
        <w:t xml:space="preserve"> Cohort IV (6%). The percentage of agreement and strong agreement </w:t>
      </w:r>
      <w:r w:rsidR="00CD5AD2">
        <w:rPr>
          <w:rFonts w:ascii="Cambria" w:hAnsi="Cambria"/>
          <w:color w:val="171717" w:themeColor="background2" w:themeShade="1A"/>
        </w:rPr>
        <w:t xml:space="preserve">with statement exceeded 94% for Cohort IV members. </w:t>
      </w:r>
      <w:r w:rsidR="002B4FD8">
        <w:rPr>
          <w:rFonts w:ascii="Cambria" w:hAnsi="Cambria"/>
          <w:color w:val="171717" w:themeColor="background2" w:themeShade="1A"/>
        </w:rPr>
        <w:t xml:space="preserve">The numbers from Cohort V were remarkably </w:t>
      </w:r>
      <w:proofErr w:type="gramStart"/>
      <w:r w:rsidR="002B4FD8">
        <w:rPr>
          <w:rFonts w:ascii="Cambria" w:hAnsi="Cambria"/>
          <w:color w:val="171717" w:themeColor="background2" w:themeShade="1A"/>
        </w:rPr>
        <w:t>similar to</w:t>
      </w:r>
      <w:proofErr w:type="gramEnd"/>
      <w:r w:rsidR="002B4FD8">
        <w:rPr>
          <w:rFonts w:ascii="Cambria" w:hAnsi="Cambria"/>
          <w:color w:val="171717" w:themeColor="background2" w:themeShade="1A"/>
        </w:rPr>
        <w:t xml:space="preserve"> Cohort IV, although there was more strong agreement (56%) in Cohort IV than there was in Cohort V (47%). </w:t>
      </w:r>
      <w:r w:rsidR="00CD5AD2">
        <w:rPr>
          <w:rFonts w:ascii="Cambria" w:hAnsi="Cambria"/>
          <w:color w:val="171717" w:themeColor="background2" w:themeShade="1A"/>
        </w:rPr>
        <w:t xml:space="preserve">This information is captured in Figure 5. </w:t>
      </w:r>
    </w:p>
    <w:p w14:paraId="1BA69AFD" w14:textId="77777777" w:rsidR="00472905" w:rsidRDefault="00472905" w:rsidP="00BF5C57">
      <w:pPr>
        <w:rPr>
          <w:rFonts w:ascii="Cambria" w:hAnsi="Cambria"/>
          <w:color w:val="171717" w:themeColor="background2" w:themeShade="1A"/>
        </w:rPr>
      </w:pPr>
    </w:p>
    <w:p w14:paraId="2BFFF27F" w14:textId="77777777" w:rsidR="00D503D7" w:rsidRDefault="00D503D7" w:rsidP="00BF5C57">
      <w:pPr>
        <w:rPr>
          <w:rFonts w:ascii="Cambria" w:hAnsi="Cambria"/>
          <w:b/>
          <w:bCs/>
          <w:color w:val="171717" w:themeColor="background2" w:themeShade="1A"/>
        </w:rPr>
      </w:pPr>
    </w:p>
    <w:p w14:paraId="6CFCC3C6" w14:textId="57C7EDF0" w:rsidR="00472905" w:rsidRPr="00BF5C57" w:rsidRDefault="00CD5AD2" w:rsidP="00BF5C57">
      <w:pPr>
        <w:rPr>
          <w:rFonts w:ascii="Cambria" w:hAnsi="Cambria"/>
          <w:b/>
          <w:bCs/>
          <w:color w:val="171717" w:themeColor="background2" w:themeShade="1A"/>
        </w:rPr>
      </w:pPr>
      <w:r>
        <w:rPr>
          <w:rFonts w:ascii="Cambria" w:hAnsi="Cambria"/>
          <w:b/>
          <w:bCs/>
          <w:color w:val="171717" w:themeColor="background2" w:themeShade="1A"/>
        </w:rPr>
        <w:t>Figure</w:t>
      </w:r>
      <w:r w:rsidRPr="00AB7FA6">
        <w:rPr>
          <w:rFonts w:ascii="Cambria" w:hAnsi="Cambria"/>
          <w:b/>
          <w:bCs/>
          <w:color w:val="171717" w:themeColor="background2" w:themeShade="1A"/>
        </w:rPr>
        <w:t xml:space="preserve"> </w:t>
      </w:r>
      <w:r>
        <w:rPr>
          <w:rFonts w:ascii="Cambria" w:hAnsi="Cambria"/>
          <w:b/>
          <w:bCs/>
          <w:color w:val="171717" w:themeColor="background2" w:themeShade="1A"/>
        </w:rPr>
        <w:t>5</w:t>
      </w:r>
      <w:r w:rsidRPr="00AB7FA6">
        <w:rPr>
          <w:rFonts w:ascii="Cambria" w:hAnsi="Cambria"/>
          <w:b/>
          <w:bCs/>
          <w:color w:val="171717" w:themeColor="background2" w:themeShade="1A"/>
        </w:rPr>
        <w:t xml:space="preserve">. Perceptions of Program Quality </w:t>
      </w:r>
      <w:r>
        <w:rPr>
          <w:rFonts w:ascii="Cambria" w:hAnsi="Cambria"/>
          <w:b/>
          <w:bCs/>
          <w:color w:val="171717" w:themeColor="background2" w:themeShade="1A"/>
        </w:rPr>
        <w:t>for Item 5</w:t>
      </w:r>
    </w:p>
    <w:p w14:paraId="7A7541DF" w14:textId="3E1EA667" w:rsidR="00472905" w:rsidRDefault="002C7550" w:rsidP="00BF5C57">
      <w:pPr>
        <w:rPr>
          <w:rFonts w:ascii="Cambria" w:hAnsi="Cambria"/>
          <w:color w:val="171717" w:themeColor="background2" w:themeShade="1A"/>
        </w:rPr>
      </w:pPr>
      <w:r>
        <w:rPr>
          <w:noProof/>
        </w:rPr>
        <w:drawing>
          <wp:inline distT="0" distB="0" distL="0" distR="0" wp14:anchorId="765C0ACE" wp14:editId="68075A14">
            <wp:extent cx="5943600" cy="3402965"/>
            <wp:effectExtent l="0" t="0" r="12700" b="13335"/>
            <wp:docPr id="468506863" name="Chart 1">
              <a:extLst xmlns:a="http://schemas.openxmlformats.org/drawingml/2006/main">
                <a:ext uri="{FF2B5EF4-FFF2-40B4-BE49-F238E27FC236}">
                  <a16:creationId xmlns:a16="http://schemas.microsoft.com/office/drawing/2014/main" id="{0DF8A231-B38E-C041-984C-95168C9463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5781CCE" w14:textId="77777777" w:rsidR="005A005A" w:rsidRDefault="005A005A" w:rsidP="00DA4F4C">
      <w:pPr>
        <w:rPr>
          <w:rFonts w:ascii="Cambria" w:hAnsi="Cambria"/>
          <w:color w:val="171717" w:themeColor="background2" w:themeShade="1A"/>
        </w:rPr>
      </w:pPr>
    </w:p>
    <w:p w14:paraId="374814AC" w14:textId="38E29503" w:rsidR="00DA4F4C" w:rsidRPr="00AB7FA6" w:rsidRDefault="00DA4F4C" w:rsidP="00DA4F4C">
      <w:pPr>
        <w:rPr>
          <w:rFonts w:ascii="Cambria" w:hAnsi="Cambria"/>
          <w:i/>
          <w:iCs/>
          <w:color w:val="171717" w:themeColor="background2" w:themeShade="1A"/>
        </w:rPr>
      </w:pPr>
      <w:r w:rsidRPr="00AB7FA6">
        <w:rPr>
          <w:rFonts w:ascii="Cambria" w:hAnsi="Cambria"/>
          <w:i/>
          <w:iCs/>
          <w:color w:val="171717" w:themeColor="background2" w:themeShade="1A"/>
        </w:rPr>
        <w:t>Item 6. Percept</w:t>
      </w:r>
      <w:r w:rsidR="005A005A" w:rsidRPr="00AB7FA6">
        <w:rPr>
          <w:rFonts w:ascii="Cambria" w:hAnsi="Cambria"/>
          <w:i/>
          <w:iCs/>
          <w:color w:val="171717" w:themeColor="background2" w:themeShade="1A"/>
        </w:rPr>
        <w:t xml:space="preserve">ions of </w:t>
      </w:r>
      <w:r w:rsidR="00311A3F">
        <w:rPr>
          <w:rFonts w:ascii="Cambria" w:hAnsi="Cambria"/>
          <w:i/>
          <w:iCs/>
          <w:color w:val="171717" w:themeColor="background2" w:themeShade="1A"/>
        </w:rPr>
        <w:t xml:space="preserve">Increased Understanding of </w:t>
      </w:r>
      <w:r w:rsidR="005A005A" w:rsidRPr="00AB7FA6">
        <w:rPr>
          <w:rFonts w:ascii="Cambria" w:hAnsi="Cambria"/>
          <w:i/>
          <w:iCs/>
          <w:color w:val="171717" w:themeColor="background2" w:themeShade="1A"/>
        </w:rPr>
        <w:t>Competency-Based Education Performance Assessments</w:t>
      </w:r>
    </w:p>
    <w:p w14:paraId="4B5C045B" w14:textId="6CCC583D" w:rsidR="00DA4F4C" w:rsidRDefault="00252135" w:rsidP="00DA4F4C">
      <w:pPr>
        <w:rPr>
          <w:rFonts w:ascii="Cambria" w:hAnsi="Cambria"/>
          <w:color w:val="171717" w:themeColor="background2" w:themeShade="1A"/>
        </w:rPr>
      </w:pPr>
      <w:r>
        <w:rPr>
          <w:rFonts w:ascii="Cambria" w:hAnsi="Cambria"/>
          <w:color w:val="171717" w:themeColor="background2" w:themeShade="1A"/>
        </w:rPr>
        <w:tab/>
      </w:r>
    </w:p>
    <w:p w14:paraId="4EC6F810" w14:textId="0B40E807" w:rsidR="00B74835" w:rsidRDefault="00252135" w:rsidP="00B74835">
      <w:pPr>
        <w:rPr>
          <w:rFonts w:ascii="Cambria" w:hAnsi="Cambria"/>
          <w:color w:val="171717" w:themeColor="background2" w:themeShade="1A"/>
        </w:rPr>
      </w:pPr>
      <w:r>
        <w:rPr>
          <w:rFonts w:ascii="Cambria" w:hAnsi="Cambria"/>
          <w:color w:val="171717" w:themeColor="background2" w:themeShade="1A"/>
        </w:rPr>
        <w:tab/>
        <w:t xml:space="preserve">When asked about their perceptions </w:t>
      </w:r>
      <w:r w:rsidR="002944A1">
        <w:rPr>
          <w:rFonts w:ascii="Cambria" w:hAnsi="Cambria"/>
          <w:color w:val="171717" w:themeColor="background2" w:themeShade="1A"/>
        </w:rPr>
        <w:t xml:space="preserve">of their knowledge of </w:t>
      </w:r>
      <w:proofErr w:type="gramStart"/>
      <w:r w:rsidR="00BA3A40">
        <w:rPr>
          <w:rFonts w:ascii="Cambria" w:hAnsi="Cambria"/>
          <w:color w:val="171717" w:themeColor="background2" w:themeShade="1A"/>
        </w:rPr>
        <w:t>c</w:t>
      </w:r>
      <w:r w:rsidR="002944A1">
        <w:rPr>
          <w:rFonts w:ascii="Cambria" w:hAnsi="Cambria"/>
          <w:color w:val="171717" w:themeColor="background2" w:themeShade="1A"/>
        </w:rPr>
        <w:t xml:space="preserve">ompetency </w:t>
      </w:r>
      <w:r w:rsidR="00BA3A40">
        <w:rPr>
          <w:rFonts w:ascii="Cambria" w:hAnsi="Cambria"/>
          <w:color w:val="171717" w:themeColor="background2" w:themeShade="1A"/>
        </w:rPr>
        <w:t>b</w:t>
      </w:r>
      <w:r w:rsidR="002944A1">
        <w:rPr>
          <w:rFonts w:ascii="Cambria" w:hAnsi="Cambria"/>
          <w:color w:val="171717" w:themeColor="background2" w:themeShade="1A"/>
        </w:rPr>
        <w:t>ased</w:t>
      </w:r>
      <w:proofErr w:type="gramEnd"/>
      <w:r w:rsidR="002944A1">
        <w:rPr>
          <w:rFonts w:ascii="Cambria" w:hAnsi="Cambria"/>
          <w:color w:val="171717" w:themeColor="background2" w:themeShade="1A"/>
        </w:rPr>
        <w:t xml:space="preserve"> </w:t>
      </w:r>
      <w:r w:rsidR="00BA3A40">
        <w:rPr>
          <w:rFonts w:ascii="Cambria" w:hAnsi="Cambria"/>
          <w:color w:val="171717" w:themeColor="background2" w:themeShade="1A"/>
        </w:rPr>
        <w:t>e</w:t>
      </w:r>
      <w:r w:rsidR="002944A1">
        <w:rPr>
          <w:rFonts w:ascii="Cambria" w:hAnsi="Cambria"/>
          <w:color w:val="171717" w:themeColor="background2" w:themeShade="1A"/>
        </w:rPr>
        <w:t>ducation and performance</w:t>
      </w:r>
      <w:r w:rsidR="00541765">
        <w:rPr>
          <w:rFonts w:ascii="Cambria" w:hAnsi="Cambria"/>
          <w:color w:val="171717" w:themeColor="background2" w:themeShade="1A"/>
        </w:rPr>
        <w:t xml:space="preserve"> assessment</w:t>
      </w:r>
      <w:r w:rsidR="002944A1">
        <w:rPr>
          <w:rFonts w:ascii="Cambria" w:hAnsi="Cambria"/>
          <w:color w:val="171717" w:themeColor="background2" w:themeShade="1A"/>
        </w:rPr>
        <w:t xml:space="preserve"> as a result of MiPAC participation, favorable responses were high, exceeding 80% for both Cohorts II and III. However, as with the previous item, the percentage of participants who disagreed increased between Cohort II (8%) and Cohort III (16%)</w:t>
      </w:r>
      <w:r w:rsidR="00305083">
        <w:rPr>
          <w:rFonts w:ascii="Cambria" w:hAnsi="Cambria"/>
          <w:color w:val="171717" w:themeColor="background2" w:themeShade="1A"/>
        </w:rPr>
        <w:t xml:space="preserve"> before dropping </w:t>
      </w:r>
      <w:r w:rsidR="00D503D7">
        <w:rPr>
          <w:rFonts w:ascii="Cambria" w:hAnsi="Cambria"/>
          <w:color w:val="171717" w:themeColor="background2" w:themeShade="1A"/>
        </w:rPr>
        <w:t>sharply again</w:t>
      </w:r>
      <w:r w:rsidR="00305083">
        <w:rPr>
          <w:rFonts w:ascii="Cambria" w:hAnsi="Cambria"/>
          <w:color w:val="171717" w:themeColor="background2" w:themeShade="1A"/>
        </w:rPr>
        <w:t xml:space="preserve"> in Cohort IV (i.e., all Cohort IV members agreed or strongly agreed with this statement). Furthermore, the percentage of strong agreement nearly doubled from Cohort III to Cohort IV (38%-72%). </w:t>
      </w:r>
      <w:r w:rsidR="00444071">
        <w:rPr>
          <w:rFonts w:ascii="Cambria" w:hAnsi="Cambria"/>
          <w:color w:val="171717" w:themeColor="background2" w:themeShade="1A"/>
        </w:rPr>
        <w:t xml:space="preserve">For Cohort V, the number of participants who strongly disagreed or disagreed with the state remained at zero, but the percentage of strong agreement decreased from 72% in Cohort IV to 58% in Cohort V. </w:t>
      </w:r>
      <w:r w:rsidR="00B74835">
        <w:rPr>
          <w:rFonts w:ascii="Cambria" w:hAnsi="Cambria"/>
          <w:color w:val="171717" w:themeColor="background2" w:themeShade="1A"/>
        </w:rPr>
        <w:t xml:space="preserve">This information is captured in Figure 6. </w:t>
      </w:r>
    </w:p>
    <w:p w14:paraId="4901E191" w14:textId="675DAD1B" w:rsidR="00305083" w:rsidRDefault="00305083" w:rsidP="00DA4F4C">
      <w:pPr>
        <w:rPr>
          <w:rFonts w:ascii="Cambria" w:hAnsi="Cambria"/>
          <w:color w:val="171717" w:themeColor="background2" w:themeShade="1A"/>
        </w:rPr>
      </w:pPr>
    </w:p>
    <w:p w14:paraId="22BAD7B2" w14:textId="77777777" w:rsidR="00305083" w:rsidRDefault="00305083" w:rsidP="00DA4F4C">
      <w:pPr>
        <w:rPr>
          <w:rFonts w:ascii="Cambria" w:hAnsi="Cambria"/>
          <w:color w:val="171717" w:themeColor="background2" w:themeShade="1A"/>
        </w:rPr>
      </w:pPr>
    </w:p>
    <w:p w14:paraId="43D2E850" w14:textId="77777777" w:rsidR="00B049D1" w:rsidRDefault="00B049D1" w:rsidP="00DA4F4C">
      <w:pPr>
        <w:rPr>
          <w:rFonts w:ascii="Cambria" w:hAnsi="Cambria"/>
          <w:color w:val="171717" w:themeColor="background2" w:themeShade="1A"/>
        </w:rPr>
      </w:pPr>
    </w:p>
    <w:p w14:paraId="74F906E9" w14:textId="77777777" w:rsidR="00B049D1" w:rsidRDefault="00B049D1" w:rsidP="00DA4F4C">
      <w:pPr>
        <w:rPr>
          <w:rFonts w:ascii="Cambria" w:hAnsi="Cambria"/>
          <w:color w:val="171717" w:themeColor="background2" w:themeShade="1A"/>
        </w:rPr>
      </w:pPr>
    </w:p>
    <w:p w14:paraId="42A9D590" w14:textId="77777777" w:rsidR="00B049D1" w:rsidRDefault="00B049D1" w:rsidP="00DA4F4C">
      <w:pPr>
        <w:rPr>
          <w:rFonts w:ascii="Cambria" w:hAnsi="Cambria"/>
          <w:color w:val="171717" w:themeColor="background2" w:themeShade="1A"/>
        </w:rPr>
      </w:pPr>
    </w:p>
    <w:p w14:paraId="5C8ED3A5" w14:textId="77777777" w:rsidR="00B049D1" w:rsidRDefault="00B049D1" w:rsidP="00DA4F4C">
      <w:pPr>
        <w:rPr>
          <w:rFonts w:ascii="Cambria" w:hAnsi="Cambria"/>
          <w:color w:val="171717" w:themeColor="background2" w:themeShade="1A"/>
        </w:rPr>
      </w:pPr>
    </w:p>
    <w:p w14:paraId="36CDCC44" w14:textId="77777777" w:rsidR="00B049D1" w:rsidRDefault="00B049D1" w:rsidP="00DA4F4C">
      <w:pPr>
        <w:rPr>
          <w:rFonts w:ascii="Cambria" w:hAnsi="Cambria"/>
          <w:color w:val="171717" w:themeColor="background2" w:themeShade="1A"/>
        </w:rPr>
      </w:pPr>
    </w:p>
    <w:p w14:paraId="13B91A3D" w14:textId="6C50BCE5" w:rsidR="00B049D1" w:rsidRPr="00BF5C57" w:rsidRDefault="00B049D1" w:rsidP="00DA4F4C">
      <w:pPr>
        <w:rPr>
          <w:rFonts w:ascii="Cambria" w:hAnsi="Cambria"/>
          <w:b/>
          <w:bCs/>
          <w:color w:val="171717" w:themeColor="background2" w:themeShade="1A"/>
        </w:rPr>
      </w:pPr>
      <w:bookmarkStart w:id="2" w:name="OLE_LINK4"/>
      <w:r>
        <w:rPr>
          <w:rFonts w:ascii="Cambria" w:hAnsi="Cambria"/>
          <w:b/>
          <w:bCs/>
          <w:color w:val="171717" w:themeColor="background2" w:themeShade="1A"/>
        </w:rPr>
        <w:t>Figure</w:t>
      </w:r>
      <w:r w:rsidRPr="00AB7FA6">
        <w:rPr>
          <w:rFonts w:ascii="Cambria" w:hAnsi="Cambria"/>
          <w:b/>
          <w:bCs/>
          <w:color w:val="171717" w:themeColor="background2" w:themeShade="1A"/>
        </w:rPr>
        <w:t xml:space="preserve"> </w:t>
      </w:r>
      <w:r>
        <w:rPr>
          <w:rFonts w:ascii="Cambria" w:hAnsi="Cambria"/>
          <w:b/>
          <w:bCs/>
          <w:color w:val="171717" w:themeColor="background2" w:themeShade="1A"/>
        </w:rPr>
        <w:t>6</w:t>
      </w:r>
      <w:r w:rsidRPr="00AB7FA6">
        <w:rPr>
          <w:rFonts w:ascii="Cambria" w:hAnsi="Cambria"/>
          <w:b/>
          <w:bCs/>
          <w:color w:val="171717" w:themeColor="background2" w:themeShade="1A"/>
        </w:rPr>
        <w:t xml:space="preserve">. Perceptions of Program Quality </w:t>
      </w:r>
      <w:r>
        <w:rPr>
          <w:rFonts w:ascii="Cambria" w:hAnsi="Cambria"/>
          <w:b/>
          <w:bCs/>
          <w:color w:val="171717" w:themeColor="background2" w:themeShade="1A"/>
        </w:rPr>
        <w:t>for Item 6</w:t>
      </w:r>
    </w:p>
    <w:bookmarkEnd w:id="2"/>
    <w:p w14:paraId="2E43DE3F" w14:textId="0166A0FA" w:rsidR="00305083" w:rsidRDefault="00444071" w:rsidP="00DA4F4C">
      <w:pPr>
        <w:rPr>
          <w:rFonts w:ascii="Cambria" w:hAnsi="Cambria"/>
          <w:color w:val="171717" w:themeColor="background2" w:themeShade="1A"/>
        </w:rPr>
      </w:pPr>
      <w:r>
        <w:rPr>
          <w:noProof/>
        </w:rPr>
        <w:lastRenderedPageBreak/>
        <w:drawing>
          <wp:inline distT="0" distB="0" distL="0" distR="0" wp14:anchorId="5AFEC23F" wp14:editId="45C02A75">
            <wp:extent cx="5943600" cy="3402965"/>
            <wp:effectExtent l="0" t="0" r="12700" b="13335"/>
            <wp:docPr id="1522256572" name="Chart 1">
              <a:extLst xmlns:a="http://schemas.openxmlformats.org/drawingml/2006/main">
                <a:ext uri="{FF2B5EF4-FFF2-40B4-BE49-F238E27FC236}">
                  <a16:creationId xmlns:a16="http://schemas.microsoft.com/office/drawing/2014/main" id="{2E2CD0F8-EBFC-FE4B-BBE5-B10902D3C0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92C7961" w14:textId="77777777" w:rsidR="002944A1" w:rsidRPr="00BF5C57" w:rsidRDefault="002944A1" w:rsidP="00DA4F4C">
      <w:pPr>
        <w:rPr>
          <w:rFonts w:ascii="Cambria" w:hAnsi="Cambria"/>
          <w:color w:val="171717" w:themeColor="background2" w:themeShade="1A"/>
          <w:sz w:val="16"/>
          <w:szCs w:val="16"/>
        </w:rPr>
      </w:pPr>
    </w:p>
    <w:p w14:paraId="698F270C" w14:textId="782C6034" w:rsidR="00DA4F4C" w:rsidRDefault="00DA4F4C" w:rsidP="00DA4F4C">
      <w:pPr>
        <w:rPr>
          <w:rFonts w:ascii="Cambria" w:hAnsi="Cambria"/>
          <w:i/>
          <w:iCs/>
          <w:color w:val="171717" w:themeColor="background2" w:themeShade="1A"/>
        </w:rPr>
      </w:pPr>
      <w:r w:rsidRPr="00AB7FA6">
        <w:rPr>
          <w:rFonts w:ascii="Cambria" w:hAnsi="Cambria"/>
          <w:i/>
          <w:iCs/>
          <w:color w:val="171717" w:themeColor="background2" w:themeShade="1A"/>
        </w:rPr>
        <w:t>Item 7.</w:t>
      </w:r>
      <w:r w:rsidR="005A005A" w:rsidRPr="00AB7FA6">
        <w:rPr>
          <w:rFonts w:ascii="Cambria" w:hAnsi="Cambria"/>
          <w:i/>
          <w:iCs/>
          <w:color w:val="171717" w:themeColor="background2" w:themeShade="1A"/>
        </w:rPr>
        <w:t xml:space="preserve"> Perceptions of Working Collaboratively to Develop Performance Assessments </w:t>
      </w:r>
    </w:p>
    <w:p w14:paraId="4D449D68" w14:textId="77777777" w:rsidR="000236F5" w:rsidRPr="00BF5C57" w:rsidRDefault="000236F5" w:rsidP="00AB7FA6">
      <w:pPr>
        <w:rPr>
          <w:rFonts w:ascii="Cambria" w:hAnsi="Cambria"/>
          <w:i/>
          <w:iCs/>
          <w:color w:val="171717" w:themeColor="background2" w:themeShade="1A"/>
          <w:sz w:val="16"/>
          <w:szCs w:val="16"/>
        </w:rPr>
      </w:pPr>
    </w:p>
    <w:p w14:paraId="1D6BB330" w14:textId="541213C8" w:rsidR="00922C1C" w:rsidRDefault="00252135" w:rsidP="00922C1C">
      <w:pPr>
        <w:rPr>
          <w:rFonts w:ascii="Cambria" w:hAnsi="Cambria"/>
          <w:color w:val="171717" w:themeColor="background2" w:themeShade="1A"/>
        </w:rPr>
      </w:pPr>
      <w:r>
        <w:rPr>
          <w:rFonts w:ascii="Cambria" w:hAnsi="Cambria"/>
          <w:color w:val="171717" w:themeColor="background2" w:themeShade="1A"/>
        </w:rPr>
        <w:t>Cohort III participants also viewed working collaboratively with others to develop performance assessments less favorably than Cohort II participants</w:t>
      </w:r>
      <w:r w:rsidR="00B97878">
        <w:rPr>
          <w:rFonts w:ascii="Cambria" w:hAnsi="Cambria"/>
          <w:color w:val="171717" w:themeColor="background2" w:themeShade="1A"/>
        </w:rPr>
        <w:t>.</w:t>
      </w:r>
      <w:r w:rsidR="00430289">
        <w:rPr>
          <w:rFonts w:ascii="Cambria" w:hAnsi="Cambria"/>
          <w:color w:val="171717" w:themeColor="background2" w:themeShade="1A"/>
        </w:rPr>
        <w:t xml:space="preserve"> </w:t>
      </w:r>
      <w:r w:rsidR="00B97878">
        <w:rPr>
          <w:rFonts w:ascii="Cambria" w:hAnsi="Cambria"/>
          <w:color w:val="171717" w:themeColor="background2" w:themeShade="1A"/>
        </w:rPr>
        <w:t>A</w:t>
      </w:r>
      <w:r w:rsidR="00430289">
        <w:rPr>
          <w:rFonts w:ascii="Cambria" w:hAnsi="Cambria"/>
          <w:color w:val="171717" w:themeColor="background2" w:themeShade="1A"/>
        </w:rPr>
        <w:t xml:space="preserve">gain, the percentage rose again sharply from Cohort III to Cohort IV. </w:t>
      </w:r>
      <w:r w:rsidR="00C20813">
        <w:rPr>
          <w:rFonts w:ascii="Cambria" w:hAnsi="Cambria"/>
          <w:color w:val="171717" w:themeColor="background2" w:themeShade="1A"/>
        </w:rPr>
        <w:t xml:space="preserve">While an overwhelming percentage of participants in Cohort III agreed or strongly agreed that working collaboratively </w:t>
      </w:r>
      <w:r w:rsidR="00541765">
        <w:rPr>
          <w:rFonts w:ascii="Cambria" w:hAnsi="Cambria"/>
          <w:color w:val="171717" w:themeColor="background2" w:themeShade="1A"/>
        </w:rPr>
        <w:t xml:space="preserve">was enjoyable </w:t>
      </w:r>
      <w:r w:rsidR="00C20813">
        <w:rPr>
          <w:rFonts w:ascii="Cambria" w:hAnsi="Cambria"/>
          <w:color w:val="171717" w:themeColor="background2" w:themeShade="1A"/>
        </w:rPr>
        <w:t xml:space="preserve">(92%), there was some disagreement (8%). </w:t>
      </w:r>
      <w:r w:rsidR="00430289">
        <w:rPr>
          <w:rFonts w:ascii="Cambria" w:hAnsi="Cambria"/>
          <w:color w:val="171717" w:themeColor="background2" w:themeShade="1A"/>
        </w:rPr>
        <w:t>In Cohort IV, this disagreement vanished. No Cohort IV member expressed disagreement with this statement</w:t>
      </w:r>
      <w:r w:rsidR="002F3167">
        <w:rPr>
          <w:rFonts w:ascii="Cambria" w:hAnsi="Cambria"/>
          <w:color w:val="171717" w:themeColor="background2" w:themeShade="1A"/>
        </w:rPr>
        <w:t>.</w:t>
      </w:r>
      <w:r w:rsidR="00922C1C">
        <w:rPr>
          <w:rFonts w:ascii="Cambria" w:hAnsi="Cambria"/>
          <w:color w:val="171717" w:themeColor="background2" w:themeShade="1A"/>
        </w:rPr>
        <w:t xml:space="preserve"> </w:t>
      </w:r>
      <w:r w:rsidR="00FB67E3">
        <w:rPr>
          <w:rFonts w:ascii="Cambria" w:hAnsi="Cambria"/>
          <w:color w:val="171717" w:themeColor="background2" w:themeShade="1A"/>
        </w:rPr>
        <w:t xml:space="preserve">This trend held for Cohort V. In fact, the percentage of participants who strongly agreed that they enjoyed working collaboratively with their team increased from Cohort IV (72%) to Cohort V (79%). </w:t>
      </w:r>
      <w:r w:rsidR="00922C1C">
        <w:rPr>
          <w:rFonts w:ascii="Cambria" w:hAnsi="Cambria"/>
          <w:color w:val="171717" w:themeColor="background2" w:themeShade="1A"/>
        </w:rPr>
        <w:t xml:space="preserve">This information is captured in Figure 7. </w:t>
      </w:r>
    </w:p>
    <w:p w14:paraId="2CCA125D" w14:textId="41439393" w:rsidR="00DA4F4C" w:rsidRDefault="00DA4F4C" w:rsidP="00AB7FA6">
      <w:pPr>
        <w:ind w:firstLine="720"/>
        <w:rPr>
          <w:rFonts w:ascii="Cambria" w:hAnsi="Cambria"/>
          <w:color w:val="171717" w:themeColor="background2" w:themeShade="1A"/>
        </w:rPr>
      </w:pPr>
    </w:p>
    <w:p w14:paraId="0486DA92" w14:textId="77777777" w:rsidR="009B0CEF" w:rsidRDefault="009B0CEF" w:rsidP="006D3B10">
      <w:pPr>
        <w:rPr>
          <w:rFonts w:ascii="Cambria" w:hAnsi="Cambria"/>
          <w:b/>
          <w:bCs/>
          <w:color w:val="171717" w:themeColor="background2" w:themeShade="1A"/>
        </w:rPr>
      </w:pPr>
    </w:p>
    <w:p w14:paraId="5741EF2D" w14:textId="77777777" w:rsidR="009B0CEF" w:rsidRDefault="009B0CEF" w:rsidP="006D3B10">
      <w:pPr>
        <w:rPr>
          <w:rFonts w:ascii="Cambria" w:hAnsi="Cambria"/>
          <w:b/>
          <w:bCs/>
          <w:color w:val="171717" w:themeColor="background2" w:themeShade="1A"/>
        </w:rPr>
      </w:pPr>
    </w:p>
    <w:p w14:paraId="5AF2105B" w14:textId="77777777" w:rsidR="009B0CEF" w:rsidRDefault="009B0CEF" w:rsidP="006D3B10">
      <w:pPr>
        <w:rPr>
          <w:rFonts w:ascii="Cambria" w:hAnsi="Cambria"/>
          <w:b/>
          <w:bCs/>
          <w:color w:val="171717" w:themeColor="background2" w:themeShade="1A"/>
        </w:rPr>
      </w:pPr>
    </w:p>
    <w:p w14:paraId="56A1DAB4" w14:textId="77777777" w:rsidR="009B0CEF" w:rsidRDefault="009B0CEF" w:rsidP="006D3B10">
      <w:pPr>
        <w:rPr>
          <w:rFonts w:ascii="Cambria" w:hAnsi="Cambria"/>
          <w:b/>
          <w:bCs/>
          <w:color w:val="171717" w:themeColor="background2" w:themeShade="1A"/>
        </w:rPr>
      </w:pPr>
    </w:p>
    <w:p w14:paraId="0BBFF048" w14:textId="77777777" w:rsidR="009B0CEF" w:rsidRDefault="009B0CEF" w:rsidP="006D3B10">
      <w:pPr>
        <w:rPr>
          <w:rFonts w:ascii="Cambria" w:hAnsi="Cambria"/>
          <w:b/>
          <w:bCs/>
          <w:color w:val="171717" w:themeColor="background2" w:themeShade="1A"/>
        </w:rPr>
      </w:pPr>
    </w:p>
    <w:p w14:paraId="286FD885" w14:textId="77777777" w:rsidR="009B0CEF" w:rsidRDefault="009B0CEF" w:rsidP="006D3B10">
      <w:pPr>
        <w:rPr>
          <w:rFonts w:ascii="Cambria" w:hAnsi="Cambria"/>
          <w:b/>
          <w:bCs/>
          <w:color w:val="171717" w:themeColor="background2" w:themeShade="1A"/>
        </w:rPr>
      </w:pPr>
    </w:p>
    <w:p w14:paraId="48960E05" w14:textId="77777777" w:rsidR="009B0CEF" w:rsidRDefault="009B0CEF" w:rsidP="006D3B10">
      <w:pPr>
        <w:rPr>
          <w:rFonts w:ascii="Cambria" w:hAnsi="Cambria"/>
          <w:b/>
          <w:bCs/>
          <w:color w:val="171717" w:themeColor="background2" w:themeShade="1A"/>
        </w:rPr>
      </w:pPr>
    </w:p>
    <w:p w14:paraId="5569BF7B" w14:textId="77777777" w:rsidR="009B0CEF" w:rsidRDefault="009B0CEF" w:rsidP="006D3B10">
      <w:pPr>
        <w:rPr>
          <w:rFonts w:ascii="Cambria" w:hAnsi="Cambria"/>
          <w:b/>
          <w:bCs/>
          <w:color w:val="171717" w:themeColor="background2" w:themeShade="1A"/>
        </w:rPr>
      </w:pPr>
    </w:p>
    <w:p w14:paraId="40E9BACE" w14:textId="77777777" w:rsidR="009B0CEF" w:rsidRDefault="009B0CEF" w:rsidP="006D3B10">
      <w:pPr>
        <w:rPr>
          <w:rFonts w:ascii="Cambria" w:hAnsi="Cambria"/>
          <w:b/>
          <w:bCs/>
          <w:color w:val="171717" w:themeColor="background2" w:themeShade="1A"/>
        </w:rPr>
      </w:pPr>
    </w:p>
    <w:p w14:paraId="37FD670A" w14:textId="77777777" w:rsidR="009B0CEF" w:rsidRDefault="009B0CEF" w:rsidP="006D3B10">
      <w:pPr>
        <w:rPr>
          <w:rFonts w:ascii="Cambria" w:hAnsi="Cambria"/>
          <w:b/>
          <w:bCs/>
          <w:color w:val="171717" w:themeColor="background2" w:themeShade="1A"/>
        </w:rPr>
      </w:pPr>
    </w:p>
    <w:p w14:paraId="787F274F" w14:textId="77777777" w:rsidR="009B0CEF" w:rsidRDefault="009B0CEF" w:rsidP="006D3B10">
      <w:pPr>
        <w:rPr>
          <w:rFonts w:ascii="Cambria" w:hAnsi="Cambria"/>
          <w:b/>
          <w:bCs/>
          <w:color w:val="171717" w:themeColor="background2" w:themeShade="1A"/>
        </w:rPr>
      </w:pPr>
    </w:p>
    <w:p w14:paraId="4CC18246" w14:textId="77777777" w:rsidR="009B0CEF" w:rsidRDefault="009B0CEF" w:rsidP="006D3B10">
      <w:pPr>
        <w:rPr>
          <w:rFonts w:ascii="Cambria" w:hAnsi="Cambria"/>
          <w:b/>
          <w:bCs/>
          <w:color w:val="171717" w:themeColor="background2" w:themeShade="1A"/>
        </w:rPr>
      </w:pPr>
    </w:p>
    <w:p w14:paraId="2EA7F7B9" w14:textId="77777777" w:rsidR="009B0CEF" w:rsidRDefault="009B0CEF" w:rsidP="006D3B10">
      <w:pPr>
        <w:rPr>
          <w:rFonts w:ascii="Cambria" w:hAnsi="Cambria"/>
          <w:b/>
          <w:bCs/>
          <w:color w:val="171717" w:themeColor="background2" w:themeShade="1A"/>
        </w:rPr>
      </w:pPr>
    </w:p>
    <w:p w14:paraId="72C152E2" w14:textId="2ADB0051" w:rsidR="00922C1C" w:rsidRPr="00BF5C57" w:rsidRDefault="00922C1C" w:rsidP="006D3B10">
      <w:pPr>
        <w:rPr>
          <w:rFonts w:ascii="Cambria" w:hAnsi="Cambria"/>
          <w:b/>
          <w:bCs/>
          <w:color w:val="171717" w:themeColor="background2" w:themeShade="1A"/>
        </w:rPr>
      </w:pPr>
      <w:r>
        <w:rPr>
          <w:rFonts w:ascii="Cambria" w:hAnsi="Cambria"/>
          <w:b/>
          <w:bCs/>
          <w:color w:val="171717" w:themeColor="background2" w:themeShade="1A"/>
        </w:rPr>
        <w:t>Figure</w:t>
      </w:r>
      <w:r w:rsidRPr="00AB7FA6">
        <w:rPr>
          <w:rFonts w:ascii="Cambria" w:hAnsi="Cambria"/>
          <w:b/>
          <w:bCs/>
          <w:color w:val="171717" w:themeColor="background2" w:themeShade="1A"/>
        </w:rPr>
        <w:t xml:space="preserve"> </w:t>
      </w:r>
      <w:r>
        <w:rPr>
          <w:rFonts w:ascii="Cambria" w:hAnsi="Cambria"/>
          <w:b/>
          <w:bCs/>
          <w:color w:val="171717" w:themeColor="background2" w:themeShade="1A"/>
        </w:rPr>
        <w:t>7</w:t>
      </w:r>
      <w:r w:rsidRPr="00AB7FA6">
        <w:rPr>
          <w:rFonts w:ascii="Cambria" w:hAnsi="Cambria"/>
          <w:b/>
          <w:bCs/>
          <w:color w:val="171717" w:themeColor="background2" w:themeShade="1A"/>
        </w:rPr>
        <w:t xml:space="preserve">. Perceptions of Program Quality </w:t>
      </w:r>
      <w:r>
        <w:rPr>
          <w:rFonts w:ascii="Cambria" w:hAnsi="Cambria"/>
          <w:b/>
          <w:bCs/>
          <w:color w:val="171717" w:themeColor="background2" w:themeShade="1A"/>
        </w:rPr>
        <w:t>for Item 7</w:t>
      </w:r>
    </w:p>
    <w:p w14:paraId="72036D48" w14:textId="593A59CE" w:rsidR="00430289" w:rsidRDefault="00FB67E3" w:rsidP="006D3B10">
      <w:pPr>
        <w:rPr>
          <w:rFonts w:ascii="Cambria" w:hAnsi="Cambria"/>
          <w:color w:val="171717" w:themeColor="background2" w:themeShade="1A"/>
        </w:rPr>
      </w:pPr>
      <w:r>
        <w:rPr>
          <w:noProof/>
        </w:rPr>
        <w:lastRenderedPageBreak/>
        <w:drawing>
          <wp:inline distT="0" distB="0" distL="0" distR="0" wp14:anchorId="603918EA" wp14:editId="7608AC1F">
            <wp:extent cx="5943600" cy="3402965"/>
            <wp:effectExtent l="0" t="0" r="12700" b="13335"/>
            <wp:docPr id="404716141" name="Chart 1">
              <a:extLst xmlns:a="http://schemas.openxmlformats.org/drawingml/2006/main">
                <a:ext uri="{FF2B5EF4-FFF2-40B4-BE49-F238E27FC236}">
                  <a16:creationId xmlns:a16="http://schemas.microsoft.com/office/drawing/2014/main" id="{3A1D6EB9-6A6F-2A4C-9825-8F9D5DC9AC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1B713D7" w14:textId="77777777" w:rsidR="00922C1C" w:rsidRDefault="00922C1C" w:rsidP="000236F5">
      <w:pPr>
        <w:rPr>
          <w:rFonts w:ascii="Cambria" w:hAnsi="Cambria"/>
          <w:i/>
          <w:iCs/>
          <w:color w:val="171717" w:themeColor="background2" w:themeShade="1A"/>
        </w:rPr>
      </w:pPr>
    </w:p>
    <w:p w14:paraId="271E2965" w14:textId="7155C017" w:rsidR="000236F5" w:rsidRPr="005C4DA6" w:rsidRDefault="000236F5" w:rsidP="000236F5">
      <w:pPr>
        <w:rPr>
          <w:rFonts w:ascii="Cambria" w:hAnsi="Cambria"/>
          <w:i/>
          <w:iCs/>
          <w:color w:val="171717" w:themeColor="background2" w:themeShade="1A"/>
        </w:rPr>
      </w:pPr>
      <w:r w:rsidRPr="005C4DA6">
        <w:rPr>
          <w:rFonts w:ascii="Cambria" w:hAnsi="Cambria"/>
          <w:i/>
          <w:iCs/>
          <w:color w:val="171717" w:themeColor="background2" w:themeShade="1A"/>
        </w:rPr>
        <w:t xml:space="preserve">Summary for Items </w:t>
      </w:r>
      <w:r>
        <w:rPr>
          <w:rFonts w:ascii="Cambria" w:hAnsi="Cambria"/>
          <w:i/>
          <w:iCs/>
          <w:color w:val="171717" w:themeColor="background2" w:themeShade="1A"/>
        </w:rPr>
        <w:t>5-7</w:t>
      </w:r>
    </w:p>
    <w:p w14:paraId="4B26DB9C" w14:textId="77777777" w:rsidR="000236F5" w:rsidRDefault="000236F5" w:rsidP="000236F5">
      <w:pPr>
        <w:rPr>
          <w:rFonts w:ascii="Cambria" w:hAnsi="Cambria"/>
          <w:color w:val="171717" w:themeColor="background2" w:themeShade="1A"/>
        </w:rPr>
      </w:pPr>
    </w:p>
    <w:p w14:paraId="52D3038C" w14:textId="338B3739" w:rsidR="00DA4F4C" w:rsidRDefault="00AD2ECB" w:rsidP="006469CC">
      <w:pPr>
        <w:rPr>
          <w:rFonts w:ascii="Cambria" w:hAnsi="Cambria"/>
          <w:color w:val="171717" w:themeColor="background2" w:themeShade="1A"/>
        </w:rPr>
      </w:pPr>
      <w:r>
        <w:rPr>
          <w:rFonts w:ascii="Cambria" w:hAnsi="Cambria"/>
          <w:color w:val="171717" w:themeColor="background2" w:themeShade="1A"/>
        </w:rPr>
        <w:t xml:space="preserve">Perceptions of program quality for items 5-7 remained high for both Cohort II and Cohort III. However, Cohort II </w:t>
      </w:r>
      <w:r w:rsidR="00541765">
        <w:rPr>
          <w:rFonts w:ascii="Cambria" w:hAnsi="Cambria"/>
          <w:color w:val="171717" w:themeColor="background2" w:themeShade="1A"/>
        </w:rPr>
        <w:t xml:space="preserve">had </w:t>
      </w:r>
      <w:r>
        <w:rPr>
          <w:rFonts w:ascii="Cambria" w:hAnsi="Cambria"/>
          <w:color w:val="171717" w:themeColor="background2" w:themeShade="1A"/>
        </w:rPr>
        <w:t xml:space="preserve">relatively more favorable </w:t>
      </w:r>
      <w:r w:rsidR="00541765">
        <w:rPr>
          <w:rFonts w:ascii="Cambria" w:hAnsi="Cambria"/>
          <w:color w:val="171717" w:themeColor="background2" w:themeShade="1A"/>
        </w:rPr>
        <w:t xml:space="preserve">perceptions </w:t>
      </w:r>
      <w:r>
        <w:rPr>
          <w:rFonts w:ascii="Cambria" w:hAnsi="Cambria"/>
          <w:color w:val="171717" w:themeColor="background2" w:themeShade="1A"/>
        </w:rPr>
        <w:t xml:space="preserve">about administering performance assessments, knowledge of Competency Based Education, and working collaboratively than Cohort III participants. </w:t>
      </w:r>
      <w:r w:rsidR="006469CC">
        <w:rPr>
          <w:rFonts w:ascii="Cambria" w:hAnsi="Cambria"/>
          <w:color w:val="171717" w:themeColor="background2" w:themeShade="1A"/>
        </w:rPr>
        <w:t>Perceptions of program quality for items 5-7 were universally and markedly more positive</w:t>
      </w:r>
      <w:r w:rsidR="009B0CEF">
        <w:rPr>
          <w:rFonts w:ascii="Cambria" w:hAnsi="Cambria"/>
          <w:color w:val="171717" w:themeColor="background2" w:themeShade="1A"/>
        </w:rPr>
        <w:t xml:space="preserve"> in Cohort IV</w:t>
      </w:r>
      <w:r w:rsidR="006469CC">
        <w:rPr>
          <w:rFonts w:ascii="Cambria" w:hAnsi="Cambria"/>
          <w:color w:val="171717" w:themeColor="background2" w:themeShade="1A"/>
        </w:rPr>
        <w:t xml:space="preserve"> than either of the previous Cohorts. </w:t>
      </w:r>
      <w:r w:rsidR="009B0CEF">
        <w:rPr>
          <w:rFonts w:ascii="Cambria" w:hAnsi="Cambria"/>
          <w:color w:val="171717" w:themeColor="background2" w:themeShade="1A"/>
        </w:rPr>
        <w:t xml:space="preserve">Cohort V participants sustained the improvements observed from Cohort III to Cohort IV. The participant responses were nearly identical between Cohorts IV and V.  </w:t>
      </w:r>
    </w:p>
    <w:p w14:paraId="7C62FF1E" w14:textId="4A44B4BD" w:rsidR="00944E72" w:rsidRDefault="00944E72" w:rsidP="006D3B10">
      <w:pPr>
        <w:rPr>
          <w:rFonts w:ascii="Cambria" w:hAnsi="Cambria"/>
          <w:color w:val="171717" w:themeColor="background2" w:themeShade="1A"/>
        </w:rPr>
      </w:pPr>
    </w:p>
    <w:p w14:paraId="18171908" w14:textId="69C3C0AB" w:rsidR="00477DBD" w:rsidRPr="00A767A5" w:rsidRDefault="00A767A5">
      <w:pPr>
        <w:rPr>
          <w:rFonts w:ascii="Cambria" w:hAnsi="Cambria"/>
          <w:b/>
          <w:bCs/>
          <w:color w:val="171717" w:themeColor="background2" w:themeShade="1A"/>
        </w:rPr>
      </w:pPr>
      <w:r w:rsidRPr="00AB7FA6">
        <w:rPr>
          <w:rFonts w:ascii="Cambria" w:hAnsi="Cambria"/>
          <w:b/>
          <w:bCs/>
          <w:color w:val="171717" w:themeColor="background2" w:themeShade="1A"/>
        </w:rPr>
        <w:t>Par</w:t>
      </w:r>
      <w:r w:rsidR="00477DBD" w:rsidRPr="00A767A5">
        <w:rPr>
          <w:rFonts w:ascii="Cambria" w:hAnsi="Cambria"/>
          <w:b/>
          <w:bCs/>
          <w:color w:val="171717" w:themeColor="background2" w:themeShade="1A"/>
        </w:rPr>
        <w:t>ticipant Perception</w:t>
      </w:r>
      <w:r w:rsidR="0040296B" w:rsidRPr="00A767A5">
        <w:rPr>
          <w:rFonts w:ascii="Cambria" w:hAnsi="Cambria"/>
          <w:b/>
          <w:bCs/>
          <w:color w:val="171717" w:themeColor="background2" w:themeShade="1A"/>
        </w:rPr>
        <w:t>s</w:t>
      </w:r>
      <w:r w:rsidR="00477DBD" w:rsidRPr="00A767A5">
        <w:rPr>
          <w:rFonts w:ascii="Cambria" w:hAnsi="Cambria"/>
          <w:b/>
          <w:bCs/>
          <w:color w:val="171717" w:themeColor="background2" w:themeShade="1A"/>
        </w:rPr>
        <w:t xml:space="preserve"> of </w:t>
      </w:r>
      <w:r w:rsidR="00A470F4" w:rsidRPr="00A767A5">
        <w:rPr>
          <w:rFonts w:ascii="Cambria" w:hAnsi="Cambria"/>
          <w:b/>
          <w:bCs/>
          <w:color w:val="171717" w:themeColor="background2" w:themeShade="1A"/>
        </w:rPr>
        <w:t>the Importance of CBE Components in the</w:t>
      </w:r>
      <w:r w:rsidR="0040296B" w:rsidRPr="00A767A5">
        <w:rPr>
          <w:rFonts w:ascii="Cambria" w:hAnsi="Cambria"/>
          <w:b/>
          <w:bCs/>
          <w:color w:val="171717" w:themeColor="background2" w:themeShade="1A"/>
        </w:rPr>
        <w:t>ir</w:t>
      </w:r>
      <w:r w:rsidR="00A470F4" w:rsidRPr="00A767A5">
        <w:rPr>
          <w:rFonts w:ascii="Cambria" w:hAnsi="Cambria"/>
          <w:b/>
          <w:bCs/>
          <w:color w:val="171717" w:themeColor="background2" w:themeShade="1A"/>
        </w:rPr>
        <w:t xml:space="preserve"> Future Professional Learning</w:t>
      </w:r>
    </w:p>
    <w:p w14:paraId="11AD8071" w14:textId="48251C28" w:rsidR="00A470F4" w:rsidRPr="00E55335" w:rsidRDefault="00A470F4">
      <w:pPr>
        <w:rPr>
          <w:rFonts w:ascii="Cambria" w:hAnsi="Cambria"/>
          <w:color w:val="171717" w:themeColor="background2" w:themeShade="1A"/>
        </w:rPr>
      </w:pPr>
    </w:p>
    <w:p w14:paraId="23A06F7D" w14:textId="77777777" w:rsidR="00B97878" w:rsidRDefault="008960D0">
      <w:pPr>
        <w:rPr>
          <w:rFonts w:ascii="Cambria" w:hAnsi="Cambria"/>
          <w:color w:val="171717" w:themeColor="background2" w:themeShade="1A"/>
        </w:rPr>
      </w:pPr>
      <w:r>
        <w:rPr>
          <w:rFonts w:ascii="Cambria" w:hAnsi="Cambria"/>
          <w:color w:val="171717" w:themeColor="background2" w:themeShade="1A"/>
        </w:rPr>
        <w:t>The</w:t>
      </w:r>
      <w:r w:rsidR="00E664F7">
        <w:rPr>
          <w:rFonts w:ascii="Cambria" w:hAnsi="Cambria"/>
          <w:color w:val="171717" w:themeColor="background2" w:themeShade="1A"/>
        </w:rPr>
        <w:t xml:space="preserve"> Cohort II</w:t>
      </w:r>
      <w:r>
        <w:rPr>
          <w:rFonts w:ascii="Cambria" w:hAnsi="Cambria"/>
          <w:color w:val="171717" w:themeColor="background2" w:themeShade="1A"/>
        </w:rPr>
        <w:t xml:space="preserve">, </w:t>
      </w:r>
      <w:r w:rsidR="00E664F7">
        <w:rPr>
          <w:rFonts w:ascii="Cambria" w:hAnsi="Cambria"/>
          <w:color w:val="171717" w:themeColor="background2" w:themeShade="1A"/>
        </w:rPr>
        <w:t>Cohort III</w:t>
      </w:r>
      <w:r>
        <w:rPr>
          <w:rFonts w:ascii="Cambria" w:hAnsi="Cambria"/>
          <w:color w:val="171717" w:themeColor="background2" w:themeShade="1A"/>
        </w:rPr>
        <w:t>, Cohort IV</w:t>
      </w:r>
      <w:r w:rsidR="00821664">
        <w:rPr>
          <w:rFonts w:ascii="Cambria" w:hAnsi="Cambria"/>
          <w:color w:val="171717" w:themeColor="background2" w:themeShade="1A"/>
        </w:rPr>
        <w:t>, and Cohort V</w:t>
      </w:r>
      <w:r w:rsidR="00E664F7">
        <w:rPr>
          <w:rFonts w:ascii="Cambria" w:hAnsi="Cambria"/>
          <w:color w:val="171717" w:themeColor="background2" w:themeShade="1A"/>
        </w:rPr>
        <w:t xml:space="preserve"> exit </w:t>
      </w:r>
      <w:r w:rsidR="00A470F4" w:rsidRPr="00E55335">
        <w:rPr>
          <w:rFonts w:ascii="Cambria" w:hAnsi="Cambria"/>
          <w:color w:val="171717" w:themeColor="background2" w:themeShade="1A"/>
        </w:rPr>
        <w:t>survey</w:t>
      </w:r>
      <w:r>
        <w:rPr>
          <w:rFonts w:ascii="Cambria" w:hAnsi="Cambria"/>
          <w:color w:val="171717" w:themeColor="background2" w:themeShade="1A"/>
        </w:rPr>
        <w:t>s</w:t>
      </w:r>
      <w:r w:rsidR="00A470F4" w:rsidRPr="00E55335">
        <w:rPr>
          <w:rFonts w:ascii="Cambria" w:hAnsi="Cambria"/>
          <w:color w:val="171717" w:themeColor="background2" w:themeShade="1A"/>
        </w:rPr>
        <w:t xml:space="preserve"> also asked </w:t>
      </w:r>
      <w:r>
        <w:rPr>
          <w:rFonts w:ascii="Cambria" w:hAnsi="Cambria"/>
          <w:color w:val="171717" w:themeColor="background2" w:themeShade="1A"/>
        </w:rPr>
        <w:t>Cohort members</w:t>
      </w:r>
      <w:r w:rsidRPr="00E55335">
        <w:rPr>
          <w:rFonts w:ascii="Cambria" w:hAnsi="Cambria"/>
          <w:color w:val="171717" w:themeColor="background2" w:themeShade="1A"/>
        </w:rPr>
        <w:t xml:space="preserve"> </w:t>
      </w:r>
      <w:r w:rsidR="00A470F4" w:rsidRPr="00E55335">
        <w:rPr>
          <w:rFonts w:ascii="Cambria" w:hAnsi="Cambria"/>
          <w:color w:val="171717" w:themeColor="background2" w:themeShade="1A"/>
        </w:rPr>
        <w:t xml:space="preserve">about their beliefs </w:t>
      </w:r>
      <w:r w:rsidR="00983366">
        <w:rPr>
          <w:rFonts w:ascii="Cambria" w:hAnsi="Cambria"/>
          <w:color w:val="171717" w:themeColor="background2" w:themeShade="1A"/>
        </w:rPr>
        <w:t>about the</w:t>
      </w:r>
      <w:r w:rsidR="00A470F4" w:rsidRPr="00E55335">
        <w:rPr>
          <w:rFonts w:ascii="Cambria" w:hAnsi="Cambria"/>
          <w:color w:val="171717" w:themeColor="background2" w:themeShade="1A"/>
        </w:rPr>
        <w:t xml:space="preserve"> importance of 18 Components of CBE for their </w:t>
      </w:r>
      <w:r w:rsidR="00D440AA">
        <w:rPr>
          <w:rFonts w:ascii="Cambria" w:hAnsi="Cambria"/>
          <w:color w:val="171717" w:themeColor="background2" w:themeShade="1A"/>
        </w:rPr>
        <w:t xml:space="preserve">future </w:t>
      </w:r>
      <w:r w:rsidR="00A470F4" w:rsidRPr="00E55335">
        <w:rPr>
          <w:rFonts w:ascii="Cambria" w:hAnsi="Cambria"/>
          <w:color w:val="171717" w:themeColor="background2" w:themeShade="1A"/>
        </w:rPr>
        <w:t xml:space="preserve">professional learning. </w:t>
      </w:r>
      <w:r w:rsidR="00E664F7">
        <w:rPr>
          <w:rFonts w:ascii="Cambria" w:hAnsi="Cambria"/>
          <w:color w:val="171717" w:themeColor="background2" w:themeShade="1A"/>
        </w:rPr>
        <w:t xml:space="preserve">For </w:t>
      </w:r>
      <w:r>
        <w:rPr>
          <w:rFonts w:ascii="Cambria" w:hAnsi="Cambria"/>
          <w:color w:val="171717" w:themeColor="background2" w:themeShade="1A"/>
        </w:rPr>
        <w:t>all three C</w:t>
      </w:r>
      <w:r w:rsidR="00E664F7">
        <w:rPr>
          <w:rFonts w:ascii="Cambria" w:hAnsi="Cambria"/>
          <w:color w:val="171717" w:themeColor="background2" w:themeShade="1A"/>
        </w:rPr>
        <w:t>ohorts, virtually all participants perceived each of the CBE components to be important or very important. For this reason, the following comparison considers the very important/important shift</w:t>
      </w:r>
      <w:r>
        <w:rPr>
          <w:rFonts w:ascii="Cambria" w:hAnsi="Cambria"/>
          <w:color w:val="171717" w:themeColor="background2" w:themeShade="1A"/>
        </w:rPr>
        <w:t>s</w:t>
      </w:r>
      <w:r w:rsidR="00E664F7">
        <w:rPr>
          <w:rFonts w:ascii="Cambria" w:hAnsi="Cambria"/>
          <w:color w:val="171717" w:themeColor="background2" w:themeShade="1A"/>
        </w:rPr>
        <w:t xml:space="preserve"> from Cohort II to Cohort III</w:t>
      </w:r>
      <w:r>
        <w:rPr>
          <w:rFonts w:ascii="Cambria" w:hAnsi="Cambria"/>
          <w:color w:val="171717" w:themeColor="background2" w:themeShade="1A"/>
        </w:rPr>
        <w:t xml:space="preserve"> to Cohort IV</w:t>
      </w:r>
      <w:r w:rsidR="00821664">
        <w:rPr>
          <w:rFonts w:ascii="Cambria" w:hAnsi="Cambria"/>
          <w:color w:val="171717" w:themeColor="background2" w:themeShade="1A"/>
        </w:rPr>
        <w:t xml:space="preserve"> to Cohort V</w:t>
      </w:r>
      <w:r w:rsidR="00E664F7">
        <w:rPr>
          <w:rFonts w:ascii="Cambria" w:hAnsi="Cambria"/>
          <w:color w:val="171717" w:themeColor="background2" w:themeShade="1A"/>
        </w:rPr>
        <w:t xml:space="preserve">. </w:t>
      </w:r>
      <w:r>
        <w:rPr>
          <w:rFonts w:ascii="Cambria" w:hAnsi="Cambria"/>
          <w:color w:val="171717" w:themeColor="background2" w:themeShade="1A"/>
        </w:rPr>
        <w:t xml:space="preserve">Changes in perceived importance should be taken to indicate changes in learning priorities rather than improvements or declines over time. </w:t>
      </w:r>
    </w:p>
    <w:p w14:paraId="329A4850" w14:textId="77777777" w:rsidR="00B97878" w:rsidRDefault="00B97878">
      <w:pPr>
        <w:rPr>
          <w:rFonts w:ascii="Cambria" w:hAnsi="Cambria"/>
          <w:color w:val="171717" w:themeColor="background2" w:themeShade="1A"/>
        </w:rPr>
      </w:pPr>
    </w:p>
    <w:p w14:paraId="52B611B5" w14:textId="100AF2B7" w:rsidR="00A470F4" w:rsidRPr="00E55335" w:rsidRDefault="00E664F7">
      <w:pPr>
        <w:rPr>
          <w:rFonts w:ascii="Cambria" w:hAnsi="Cambria"/>
          <w:color w:val="171717" w:themeColor="background2" w:themeShade="1A"/>
        </w:rPr>
      </w:pPr>
      <w:r>
        <w:rPr>
          <w:rFonts w:ascii="Cambria" w:hAnsi="Cambria"/>
          <w:color w:val="171717" w:themeColor="background2" w:themeShade="1A"/>
        </w:rPr>
        <w:t xml:space="preserve">In general, Cohort II participants were more likely to perceive the CBE Components to be very important (as opposed to simply “important”) than Cohort </w:t>
      </w:r>
      <w:r w:rsidR="00163A2E">
        <w:rPr>
          <w:rFonts w:ascii="Cambria" w:hAnsi="Cambria"/>
          <w:color w:val="171717" w:themeColor="background2" w:themeShade="1A"/>
        </w:rPr>
        <w:t>III</w:t>
      </w:r>
      <w:r w:rsidR="00821664">
        <w:rPr>
          <w:rFonts w:ascii="Cambria" w:hAnsi="Cambria"/>
          <w:color w:val="171717" w:themeColor="background2" w:themeShade="1A"/>
        </w:rPr>
        <w:t xml:space="preserve">, </w:t>
      </w:r>
      <w:r w:rsidR="00DE79B4">
        <w:rPr>
          <w:rFonts w:ascii="Cambria" w:hAnsi="Cambria"/>
          <w:color w:val="171717" w:themeColor="background2" w:themeShade="1A"/>
        </w:rPr>
        <w:t>Cohort IV</w:t>
      </w:r>
      <w:r w:rsidR="00821664">
        <w:rPr>
          <w:rFonts w:ascii="Cambria" w:hAnsi="Cambria"/>
          <w:color w:val="171717" w:themeColor="background2" w:themeShade="1A"/>
        </w:rPr>
        <w:t>, or Cohort V</w:t>
      </w:r>
      <w:r w:rsidR="00DE79B4">
        <w:rPr>
          <w:rFonts w:ascii="Cambria" w:hAnsi="Cambria"/>
          <w:color w:val="171717" w:themeColor="background2" w:themeShade="1A"/>
        </w:rPr>
        <w:t xml:space="preserve"> participants</w:t>
      </w:r>
      <w:r>
        <w:rPr>
          <w:rFonts w:ascii="Cambria" w:hAnsi="Cambria"/>
          <w:color w:val="171717" w:themeColor="background2" w:themeShade="1A"/>
        </w:rPr>
        <w:t xml:space="preserve">. </w:t>
      </w:r>
      <w:r w:rsidR="00821664">
        <w:rPr>
          <w:rFonts w:ascii="Cambria" w:hAnsi="Cambria"/>
          <w:color w:val="171717" w:themeColor="background2" w:themeShade="1A"/>
        </w:rPr>
        <w:t xml:space="preserve">Finally, participants rarely indicated that a Component was “not important” to their future learning. In fact, across the 18 components and Cohorts, a single participant </w:t>
      </w:r>
      <w:r w:rsidR="00821664">
        <w:rPr>
          <w:rFonts w:ascii="Cambria" w:hAnsi="Cambria"/>
          <w:color w:val="171717" w:themeColor="background2" w:themeShade="1A"/>
        </w:rPr>
        <w:lastRenderedPageBreak/>
        <w:t>only indicate</w:t>
      </w:r>
      <w:r w:rsidR="00B97878">
        <w:rPr>
          <w:rFonts w:ascii="Cambria" w:hAnsi="Cambria"/>
          <w:color w:val="171717" w:themeColor="background2" w:themeShade="1A"/>
        </w:rPr>
        <w:t>d</w:t>
      </w:r>
      <w:r w:rsidR="00821664">
        <w:rPr>
          <w:rFonts w:ascii="Cambria" w:hAnsi="Cambria"/>
          <w:color w:val="171717" w:themeColor="background2" w:themeShade="1A"/>
        </w:rPr>
        <w:t xml:space="preserve"> “not important” once (Component 13, Cohort III)</w:t>
      </w:r>
      <w:r w:rsidR="00001D3E">
        <w:rPr>
          <w:rFonts w:ascii="Cambria" w:hAnsi="Cambria"/>
          <w:color w:val="171717" w:themeColor="background2" w:themeShade="1A"/>
        </w:rPr>
        <w:t xml:space="preserve">. </w:t>
      </w:r>
      <w:r>
        <w:rPr>
          <w:rFonts w:ascii="Cambria" w:hAnsi="Cambria"/>
          <w:color w:val="171717" w:themeColor="background2" w:themeShade="1A"/>
        </w:rPr>
        <w:t>The changes are reported for each Component below</w:t>
      </w:r>
      <w:r w:rsidR="004E4995">
        <w:rPr>
          <w:rFonts w:ascii="Cambria" w:hAnsi="Cambria"/>
          <w:color w:val="171717" w:themeColor="background2" w:themeShade="1A"/>
        </w:rPr>
        <w:t>. Also, please note that only 18 Cohort V participants completed this section of the survey.</w:t>
      </w:r>
      <w:r>
        <w:rPr>
          <w:rFonts w:ascii="Cambria" w:hAnsi="Cambria"/>
          <w:color w:val="171717" w:themeColor="background2" w:themeShade="1A"/>
        </w:rPr>
        <w:t xml:space="preserve"> </w:t>
      </w:r>
    </w:p>
    <w:p w14:paraId="3C34F487" w14:textId="5B4B78DE" w:rsidR="00A470F4" w:rsidRPr="00C142F2" w:rsidRDefault="00A470F4">
      <w:pPr>
        <w:rPr>
          <w:rFonts w:ascii="Cambria" w:hAnsi="Cambria"/>
          <w:color w:val="171717" w:themeColor="background2" w:themeShade="1A"/>
          <w:sz w:val="16"/>
          <w:szCs w:val="16"/>
        </w:rPr>
      </w:pPr>
    </w:p>
    <w:p w14:paraId="44C2A1D4" w14:textId="28C970D4" w:rsidR="00A470F4" w:rsidRDefault="00771036"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 xml:space="preserve">Component I: </w:t>
      </w:r>
      <w:r w:rsidR="00A470F4" w:rsidRPr="00AB7FA6">
        <w:rPr>
          <w:rFonts w:ascii="Cambria" w:hAnsi="Cambria"/>
          <w:i/>
          <w:iCs/>
          <w:color w:val="171717" w:themeColor="background2" w:themeShade="1A"/>
          <w:sz w:val="24"/>
          <w:szCs w:val="24"/>
        </w:rPr>
        <w:t xml:space="preserve">Organizing curriculum and instruction to focus on a broad, more holistic set of student success outcomes for college, career, and lifelong learning </w:t>
      </w:r>
    </w:p>
    <w:p w14:paraId="3E096A04"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358B487D" w14:textId="15D6AD07" w:rsidR="00502A1E" w:rsidRPr="000E1DF2" w:rsidRDefault="00CB76F3" w:rsidP="00C142F2">
      <w:pPr>
        <w:ind w:left="720"/>
      </w:pPr>
      <w:r w:rsidRPr="00C142F2">
        <w:rPr>
          <w:rFonts w:ascii="Cambria" w:hAnsi="Cambria"/>
          <w:color w:val="171717" w:themeColor="background2" w:themeShade="1A"/>
        </w:rPr>
        <w:t xml:space="preserve">Percentage change of less than </w:t>
      </w:r>
      <w:r w:rsidR="00AB7FA6" w:rsidRPr="00C142F2">
        <w:rPr>
          <w:rFonts w:ascii="Cambria" w:hAnsi="Cambria"/>
          <w:color w:val="171717" w:themeColor="background2" w:themeShade="1A"/>
        </w:rPr>
        <w:t>10</w:t>
      </w:r>
      <w:r w:rsidRPr="00C142F2">
        <w:rPr>
          <w:rFonts w:ascii="Cambria" w:hAnsi="Cambria"/>
          <w:color w:val="171717" w:themeColor="background2" w:themeShade="1A"/>
        </w:rPr>
        <w:t>%</w:t>
      </w:r>
      <w:r w:rsidR="00CC663A" w:rsidRPr="00C142F2">
        <w:rPr>
          <w:rFonts w:ascii="Cambria" w:hAnsi="Cambria"/>
          <w:color w:val="171717" w:themeColor="background2" w:themeShade="1A"/>
        </w:rPr>
        <w:t xml:space="preserve"> although the indications of “very important” have been slightly decreasing over time. </w:t>
      </w:r>
    </w:p>
    <w:p w14:paraId="6DB2FCB2" w14:textId="67B89964" w:rsidR="00502A1E" w:rsidRPr="00BF5C57" w:rsidRDefault="00615E89" w:rsidP="00BF5C57">
      <w:pPr>
        <w:contextualSpacing/>
        <w:rPr>
          <w:rFonts w:ascii="Cambria" w:hAnsi="Cambria"/>
          <w:color w:val="171717" w:themeColor="background2" w:themeShade="1A"/>
        </w:rPr>
      </w:pPr>
      <w:r w:rsidRPr="00615E89">
        <w:rPr>
          <w:noProof/>
        </w:rPr>
        <w:t xml:space="preserve"> </w:t>
      </w:r>
      <w:r>
        <w:rPr>
          <w:noProof/>
        </w:rPr>
        <w:drawing>
          <wp:inline distT="0" distB="0" distL="0" distR="0" wp14:anchorId="28556F06" wp14:editId="3FA2547C">
            <wp:extent cx="6550660" cy="2592730"/>
            <wp:effectExtent l="0" t="0" r="15240" b="10795"/>
            <wp:docPr id="1935920568" name="Chart 1">
              <a:extLst xmlns:a="http://schemas.openxmlformats.org/drawingml/2006/main">
                <a:ext uri="{FF2B5EF4-FFF2-40B4-BE49-F238E27FC236}">
                  <a16:creationId xmlns:a16="http://schemas.microsoft.com/office/drawing/2014/main" id="{DB1C2F26-BAF2-C69D-D3A3-9F59AC9775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C59EE8" w14:textId="77777777" w:rsidR="00771036" w:rsidRPr="00C142F2" w:rsidRDefault="00771036" w:rsidP="00C142F2">
      <w:pPr>
        <w:contextualSpacing/>
        <w:rPr>
          <w:rFonts w:ascii="Cambria" w:hAnsi="Cambria"/>
          <w:color w:val="171717" w:themeColor="background2" w:themeShade="1A"/>
        </w:rPr>
      </w:pPr>
    </w:p>
    <w:p w14:paraId="79C71136" w14:textId="1B7F054D" w:rsidR="00A470F4" w:rsidRDefault="00771036"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 xml:space="preserve">Component 2: </w:t>
      </w:r>
      <w:r w:rsidR="00A470F4" w:rsidRPr="00AB7FA6">
        <w:rPr>
          <w:rFonts w:ascii="Cambria" w:hAnsi="Cambria"/>
          <w:i/>
          <w:iCs/>
          <w:color w:val="171717" w:themeColor="background2" w:themeShade="1A"/>
          <w:sz w:val="24"/>
          <w:szCs w:val="24"/>
        </w:rPr>
        <w:t xml:space="preserve">Setting clear and measurable learning expectations that include levels of student performance required for mastery </w:t>
      </w:r>
    </w:p>
    <w:p w14:paraId="2ADDC5A1"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6BB68055" w14:textId="0F0E15F3" w:rsidR="00DE79B4" w:rsidRPr="000E1DF2" w:rsidRDefault="00100A8D" w:rsidP="00C142F2">
      <w:pPr>
        <w:ind w:left="720"/>
      </w:pPr>
      <w:r w:rsidRPr="00C142F2">
        <w:rPr>
          <w:rFonts w:ascii="Cambria" w:hAnsi="Cambria"/>
          <w:color w:val="171717" w:themeColor="background2" w:themeShade="1A"/>
        </w:rPr>
        <w:t xml:space="preserve">A higher percentage of participants identified this item as very important in Cohort II (85%)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(7</w:t>
      </w:r>
      <w:r w:rsidR="00D93E9A" w:rsidRPr="00C142F2">
        <w:rPr>
          <w:rFonts w:ascii="Cambria" w:hAnsi="Cambria"/>
          <w:color w:val="171717" w:themeColor="background2" w:themeShade="1A"/>
        </w:rPr>
        <w:t>1</w:t>
      </w:r>
      <w:r w:rsidRPr="00C142F2">
        <w:rPr>
          <w:rFonts w:ascii="Cambria" w:hAnsi="Cambria"/>
          <w:color w:val="171717" w:themeColor="background2" w:themeShade="1A"/>
        </w:rPr>
        <w:t>%)</w:t>
      </w:r>
      <w:r w:rsidR="006E7B39" w:rsidRPr="00C142F2">
        <w:rPr>
          <w:rFonts w:ascii="Cambria" w:hAnsi="Cambria"/>
          <w:color w:val="171717" w:themeColor="background2" w:themeShade="1A"/>
        </w:rPr>
        <w:t>. The importance then increased slightly to 78% for Cohort IV</w:t>
      </w:r>
      <w:r w:rsidR="00004594" w:rsidRPr="00C142F2">
        <w:rPr>
          <w:rFonts w:ascii="Cambria" w:hAnsi="Cambria"/>
          <w:color w:val="171717" w:themeColor="background2" w:themeShade="1A"/>
        </w:rPr>
        <w:t xml:space="preserve"> and declin</w:t>
      </w:r>
      <w:r w:rsidR="00B97878">
        <w:rPr>
          <w:rFonts w:ascii="Cambria" w:hAnsi="Cambria"/>
          <w:color w:val="171717" w:themeColor="background2" w:themeShade="1A"/>
        </w:rPr>
        <w:t>ed</w:t>
      </w:r>
      <w:r w:rsidR="00004594" w:rsidRPr="00C142F2">
        <w:rPr>
          <w:rFonts w:ascii="Cambria" w:hAnsi="Cambria"/>
          <w:color w:val="171717" w:themeColor="background2" w:themeShade="1A"/>
        </w:rPr>
        <w:t xml:space="preserve"> slightly to 67% for Cohort V.</w:t>
      </w:r>
    </w:p>
    <w:p w14:paraId="5913E353" w14:textId="7FF0B1B5" w:rsidR="00ED6F02" w:rsidRPr="006E7B39" w:rsidRDefault="00615E89" w:rsidP="00BF5C57">
      <w:pPr>
        <w:contextualSpacing/>
        <w:rPr>
          <w:rFonts w:ascii="Cambria" w:hAnsi="Cambria"/>
          <w:color w:val="171717" w:themeColor="background2" w:themeShade="1A"/>
        </w:rPr>
      </w:pPr>
      <w:r>
        <w:rPr>
          <w:noProof/>
        </w:rPr>
        <w:drawing>
          <wp:inline distT="0" distB="0" distL="0" distR="0" wp14:anchorId="0206C152" wp14:editId="27D991A0">
            <wp:extent cx="6458585" cy="2558005"/>
            <wp:effectExtent l="0" t="0" r="18415" b="7620"/>
            <wp:docPr id="449927017" name="Chart 1">
              <a:extLst xmlns:a="http://schemas.openxmlformats.org/drawingml/2006/main">
                <a:ext uri="{FF2B5EF4-FFF2-40B4-BE49-F238E27FC236}">
                  <a16:creationId xmlns:a16="http://schemas.microsoft.com/office/drawing/2014/main" id="{10BC76C2-80C0-51FA-6AE7-093783FF0F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E01BB4D" w14:textId="77777777" w:rsidR="00100A8D" w:rsidRPr="00AB7FA6" w:rsidRDefault="00100A8D" w:rsidP="00AB7FA6">
      <w:pPr>
        <w:contextualSpacing/>
        <w:rPr>
          <w:rFonts w:ascii="Cambria" w:hAnsi="Cambria"/>
          <w:color w:val="171717" w:themeColor="background2" w:themeShade="1A"/>
        </w:rPr>
      </w:pPr>
    </w:p>
    <w:p w14:paraId="64EC4498" w14:textId="7EA1D577" w:rsidR="00A470F4" w:rsidRDefault="00771036"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 xml:space="preserve">Component 3: </w:t>
      </w:r>
      <w:r w:rsidR="00A470F4" w:rsidRPr="00AB7FA6">
        <w:rPr>
          <w:rFonts w:ascii="Cambria" w:hAnsi="Cambria"/>
          <w:i/>
          <w:iCs/>
          <w:color w:val="171717" w:themeColor="background2" w:themeShade="1A"/>
          <w:sz w:val="24"/>
          <w:szCs w:val="24"/>
        </w:rPr>
        <w:t xml:space="preserve">Drawing on pedagogical principles of learning sciences when teaching </w:t>
      </w:r>
    </w:p>
    <w:p w14:paraId="273F1E62"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52387B81" w14:textId="4FDE73B3" w:rsidR="00DE79B4" w:rsidRPr="00C142F2" w:rsidRDefault="00EF4A61"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 xml:space="preserve">A higher percentage of participants identified this item as very important in Cohort II (62%)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(2</w:t>
      </w:r>
      <w:r w:rsidR="00D93E9A" w:rsidRPr="00C142F2">
        <w:rPr>
          <w:rFonts w:ascii="Cambria" w:hAnsi="Cambria"/>
          <w:color w:val="171717" w:themeColor="background2" w:themeShade="1A"/>
        </w:rPr>
        <w:t>9</w:t>
      </w:r>
      <w:r w:rsidRPr="00C142F2">
        <w:rPr>
          <w:rFonts w:ascii="Cambria" w:hAnsi="Cambria"/>
          <w:color w:val="171717" w:themeColor="background2" w:themeShade="1A"/>
        </w:rPr>
        <w:t>%)</w:t>
      </w:r>
      <w:r w:rsidR="00DE79B4" w:rsidRPr="00C142F2">
        <w:rPr>
          <w:rFonts w:ascii="Cambria" w:hAnsi="Cambria"/>
          <w:color w:val="171717" w:themeColor="background2" w:themeShade="1A"/>
        </w:rPr>
        <w:t>. However, 67% Cohort IV participants indicated this CBE principles was “very important” to their future learning, surpassing each of the prior Cohorts.</w:t>
      </w:r>
      <w:r w:rsidR="00004594" w:rsidRPr="00C142F2">
        <w:rPr>
          <w:rFonts w:ascii="Cambria" w:hAnsi="Cambria"/>
          <w:color w:val="171717" w:themeColor="background2" w:themeShade="1A"/>
        </w:rPr>
        <w:t xml:space="preserve"> The percentage of “very important” responses dipped in Cohort V to 56 percent.</w:t>
      </w:r>
    </w:p>
    <w:p w14:paraId="7C8BF7B1" w14:textId="2409791D" w:rsidR="00EF4A61" w:rsidRPr="006E7B39" w:rsidRDefault="00615E89" w:rsidP="00BF5C57">
      <w:pPr>
        <w:contextualSpacing/>
        <w:rPr>
          <w:rFonts w:ascii="Cambria" w:hAnsi="Cambria"/>
          <w:color w:val="171717" w:themeColor="background2" w:themeShade="1A"/>
        </w:rPr>
      </w:pPr>
      <w:r>
        <w:rPr>
          <w:noProof/>
        </w:rPr>
        <w:drawing>
          <wp:inline distT="0" distB="0" distL="0" distR="0" wp14:anchorId="5D8CA98B" wp14:editId="207E0A9B">
            <wp:extent cx="6522334" cy="2540635"/>
            <wp:effectExtent l="0" t="0" r="18415" b="12065"/>
            <wp:docPr id="1288343387" name="Chart 1">
              <a:extLst xmlns:a="http://schemas.openxmlformats.org/drawingml/2006/main">
                <a:ext uri="{FF2B5EF4-FFF2-40B4-BE49-F238E27FC236}">
                  <a16:creationId xmlns:a16="http://schemas.microsoft.com/office/drawing/2014/main" id="{13B568B8-D88D-3CF3-636C-6BF2B8302F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F71B933" w14:textId="77777777" w:rsidR="00771036" w:rsidRPr="00C142F2" w:rsidRDefault="00771036" w:rsidP="00C142F2">
      <w:pPr>
        <w:contextualSpacing/>
        <w:rPr>
          <w:rFonts w:ascii="Cambria" w:hAnsi="Cambria"/>
          <w:i/>
          <w:iCs/>
          <w:color w:val="171717" w:themeColor="background2" w:themeShade="1A"/>
        </w:rPr>
      </w:pPr>
    </w:p>
    <w:p w14:paraId="57105E59" w14:textId="4C8045D0" w:rsidR="00A470F4" w:rsidRDefault="00771036"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 xml:space="preserve">Component 4: </w:t>
      </w:r>
      <w:r w:rsidR="00A470F4" w:rsidRPr="00AB7FA6">
        <w:rPr>
          <w:rFonts w:ascii="Cambria" w:hAnsi="Cambria"/>
          <w:i/>
          <w:iCs/>
          <w:color w:val="171717" w:themeColor="background2" w:themeShade="1A"/>
          <w:sz w:val="24"/>
          <w:szCs w:val="24"/>
        </w:rPr>
        <w:t xml:space="preserve">Taking into consideration student-directed learning pathways, including student voice and student choice </w:t>
      </w:r>
    </w:p>
    <w:p w14:paraId="0C768E53"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6E2D8321" w14:textId="3BB9DD21" w:rsidR="00ED6F02" w:rsidRPr="000E1DF2" w:rsidRDefault="0027474A" w:rsidP="00C142F2">
      <w:pPr>
        <w:ind w:left="720"/>
      </w:pPr>
      <w:r w:rsidRPr="00C142F2">
        <w:rPr>
          <w:rFonts w:ascii="Cambria" w:hAnsi="Cambria"/>
          <w:color w:val="171717" w:themeColor="background2" w:themeShade="1A"/>
        </w:rPr>
        <w:t xml:space="preserve">A higher percentage of participants identified this item as very important in Cohort II (85%)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(5</w:t>
      </w:r>
      <w:r w:rsidR="00D93E9A" w:rsidRPr="00C142F2">
        <w:rPr>
          <w:rFonts w:ascii="Cambria" w:hAnsi="Cambria"/>
          <w:color w:val="171717" w:themeColor="background2" w:themeShade="1A"/>
        </w:rPr>
        <w:t>7</w:t>
      </w:r>
      <w:r w:rsidRPr="00C142F2">
        <w:rPr>
          <w:rFonts w:ascii="Cambria" w:hAnsi="Cambria"/>
          <w:color w:val="171717" w:themeColor="background2" w:themeShade="1A"/>
        </w:rPr>
        <w:t>%)</w:t>
      </w:r>
      <w:r w:rsidR="00004594" w:rsidRPr="00C142F2">
        <w:rPr>
          <w:rFonts w:ascii="Cambria" w:hAnsi="Cambria"/>
          <w:color w:val="171717" w:themeColor="background2" w:themeShade="1A"/>
        </w:rPr>
        <w:t xml:space="preserve">, </w:t>
      </w:r>
      <w:r w:rsidR="00DE79B4" w:rsidRPr="00C142F2">
        <w:rPr>
          <w:rFonts w:ascii="Cambria" w:hAnsi="Cambria"/>
          <w:color w:val="171717" w:themeColor="background2" w:themeShade="1A"/>
        </w:rPr>
        <w:t>Cohort IV (78%)</w:t>
      </w:r>
      <w:r w:rsidR="00004594" w:rsidRPr="00C142F2">
        <w:rPr>
          <w:rFonts w:ascii="Cambria" w:hAnsi="Cambria"/>
          <w:color w:val="171717" w:themeColor="background2" w:themeShade="1A"/>
        </w:rPr>
        <w:t>, or Cohort V (67%)</w:t>
      </w:r>
    </w:p>
    <w:p w14:paraId="7F3218B7" w14:textId="160D8CFB" w:rsidR="0027474A" w:rsidRPr="00C142F2" w:rsidRDefault="00615E89" w:rsidP="00C142F2">
      <w:pPr>
        <w:contextualSpacing/>
        <w:rPr>
          <w:rFonts w:ascii="Cambria" w:hAnsi="Cambria"/>
          <w:color w:val="171717" w:themeColor="background2" w:themeShade="1A"/>
        </w:rPr>
      </w:pPr>
      <w:r>
        <w:rPr>
          <w:noProof/>
        </w:rPr>
        <w:drawing>
          <wp:inline distT="0" distB="0" distL="0" distR="0" wp14:anchorId="597CA8EA" wp14:editId="17DFFCCB">
            <wp:extent cx="6330950" cy="2980481"/>
            <wp:effectExtent l="0" t="0" r="6350" b="17145"/>
            <wp:docPr id="673774669" name="Chart 1">
              <a:extLst xmlns:a="http://schemas.openxmlformats.org/drawingml/2006/main">
                <a:ext uri="{FF2B5EF4-FFF2-40B4-BE49-F238E27FC236}">
                  <a16:creationId xmlns:a16="http://schemas.microsoft.com/office/drawing/2014/main" id="{BAA4D3B9-6F03-C72D-0F4B-F4B7C6C0DE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A006216" w14:textId="12B6EFDB" w:rsidR="00A470F4" w:rsidRDefault="00771036"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lastRenderedPageBreak/>
        <w:t xml:space="preserve">Component 5: </w:t>
      </w:r>
      <w:r w:rsidR="00A470F4" w:rsidRPr="00AB7FA6">
        <w:rPr>
          <w:rFonts w:ascii="Cambria" w:hAnsi="Cambria"/>
          <w:i/>
          <w:iCs/>
          <w:color w:val="171717" w:themeColor="background2" w:themeShade="1A"/>
          <w:sz w:val="24"/>
          <w:szCs w:val="24"/>
        </w:rPr>
        <w:t xml:space="preserve">Designing instruction to provide students timely and differentiated support </w:t>
      </w:r>
    </w:p>
    <w:p w14:paraId="6E6E6B4E" w14:textId="77777777" w:rsidR="000E1DF2" w:rsidRPr="00C142F2" w:rsidRDefault="000E1DF2" w:rsidP="00C142F2">
      <w:pPr>
        <w:ind w:left="360"/>
        <w:contextualSpacing/>
        <w:rPr>
          <w:rFonts w:ascii="Cambria" w:hAnsi="Cambria"/>
          <w:i/>
          <w:iCs/>
          <w:color w:val="171717" w:themeColor="background2" w:themeShade="1A"/>
          <w:sz w:val="16"/>
          <w:szCs w:val="16"/>
        </w:rPr>
      </w:pPr>
    </w:p>
    <w:p w14:paraId="5B06D27C" w14:textId="6554C8E3" w:rsidR="00DE79B4" w:rsidRPr="00C142F2" w:rsidRDefault="00E664F7"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A higher percentage of participants identified this item as very important in Cohort II (</w:t>
      </w:r>
      <w:r w:rsidR="00030A92" w:rsidRPr="00C142F2">
        <w:rPr>
          <w:rFonts w:ascii="Cambria" w:hAnsi="Cambria"/>
          <w:color w:val="171717" w:themeColor="background2" w:themeShade="1A"/>
        </w:rPr>
        <w:t>92</w:t>
      </w:r>
      <w:r w:rsidRPr="00C142F2">
        <w:rPr>
          <w:rFonts w:ascii="Cambria" w:hAnsi="Cambria"/>
          <w:color w:val="171717" w:themeColor="background2" w:themeShade="1A"/>
        </w:rPr>
        <w:t xml:space="preserve">%)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w:t>
      </w:r>
      <w:r w:rsidR="00D93E9A" w:rsidRPr="00C142F2">
        <w:rPr>
          <w:rFonts w:ascii="Cambria" w:hAnsi="Cambria"/>
          <w:color w:val="171717" w:themeColor="background2" w:themeShade="1A"/>
        </w:rPr>
        <w:t>71</w:t>
      </w:r>
      <w:r w:rsidRPr="00C142F2">
        <w:rPr>
          <w:rFonts w:ascii="Cambria" w:hAnsi="Cambria"/>
          <w:color w:val="171717" w:themeColor="background2" w:themeShade="1A"/>
        </w:rPr>
        <w:t>%)</w:t>
      </w:r>
      <w:r w:rsidR="00DE79B4" w:rsidRPr="00C142F2">
        <w:rPr>
          <w:rFonts w:ascii="Cambria" w:hAnsi="Cambria"/>
          <w:color w:val="171717" w:themeColor="background2" w:themeShade="1A"/>
        </w:rPr>
        <w:t xml:space="preserve"> Cohort IV (65%)</w:t>
      </w:r>
      <w:r w:rsidR="00004594" w:rsidRPr="00C142F2">
        <w:rPr>
          <w:rFonts w:ascii="Cambria" w:hAnsi="Cambria"/>
          <w:color w:val="171717" w:themeColor="background2" w:themeShade="1A"/>
        </w:rPr>
        <w:t>, or Cohort V (78%)</w:t>
      </w:r>
      <w:r w:rsidR="00DE79B4" w:rsidRPr="00C142F2">
        <w:rPr>
          <w:rFonts w:ascii="Cambria" w:hAnsi="Cambria"/>
          <w:color w:val="171717" w:themeColor="background2" w:themeShade="1A"/>
        </w:rPr>
        <w:t>. In Cohort IV “somewhat important” emerged for the first time</w:t>
      </w:r>
      <w:r w:rsidR="00004594" w:rsidRPr="00C142F2">
        <w:rPr>
          <w:rFonts w:ascii="Cambria" w:hAnsi="Cambria"/>
          <w:color w:val="171717" w:themeColor="background2" w:themeShade="1A"/>
        </w:rPr>
        <w:t xml:space="preserve">, but then disappeared again for Cohort V. </w:t>
      </w:r>
    </w:p>
    <w:p w14:paraId="732FD901" w14:textId="00ABA15B" w:rsidR="00ED6F02" w:rsidRPr="006E7B39" w:rsidRDefault="00615E89" w:rsidP="00BF5C57">
      <w:pPr>
        <w:contextualSpacing/>
        <w:rPr>
          <w:rFonts w:ascii="Cambria" w:hAnsi="Cambria"/>
          <w:color w:val="171717" w:themeColor="background2" w:themeShade="1A"/>
        </w:rPr>
      </w:pPr>
      <w:r>
        <w:rPr>
          <w:noProof/>
        </w:rPr>
        <w:drawing>
          <wp:inline distT="0" distB="0" distL="0" distR="0" wp14:anchorId="576710D6" wp14:editId="2B177ED8">
            <wp:extent cx="6238754" cy="2743200"/>
            <wp:effectExtent l="0" t="0" r="10160" b="12700"/>
            <wp:docPr id="1863185737" name="Chart 1">
              <a:extLst xmlns:a="http://schemas.openxmlformats.org/drawingml/2006/main">
                <a:ext uri="{FF2B5EF4-FFF2-40B4-BE49-F238E27FC236}">
                  <a16:creationId xmlns:a16="http://schemas.microsoft.com/office/drawing/2014/main" id="{D96D37E2-12FD-055F-ADA2-B7E7F88C83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AD22920" w14:textId="77777777" w:rsidR="00801302" w:rsidRPr="00C142F2" w:rsidRDefault="00801302" w:rsidP="00C142F2">
      <w:pPr>
        <w:contextualSpacing/>
        <w:rPr>
          <w:rFonts w:ascii="Cambria" w:hAnsi="Cambria"/>
          <w:color w:val="171717" w:themeColor="background2" w:themeShade="1A"/>
        </w:rPr>
      </w:pPr>
    </w:p>
    <w:p w14:paraId="6BBFB317" w14:textId="55453BD7" w:rsidR="00A470F4" w:rsidRDefault="00771036"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 xml:space="preserve">Component 6: </w:t>
      </w:r>
      <w:r w:rsidR="00A470F4" w:rsidRPr="00AB7FA6">
        <w:rPr>
          <w:rFonts w:ascii="Cambria" w:hAnsi="Cambria"/>
          <w:i/>
          <w:iCs/>
          <w:color w:val="171717" w:themeColor="background2" w:themeShade="1A"/>
          <w:sz w:val="24"/>
          <w:szCs w:val="24"/>
        </w:rPr>
        <w:t xml:space="preserve">Providing daily flex learning time for students </w:t>
      </w:r>
    </w:p>
    <w:p w14:paraId="5D75A8D0"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0D91CAE1" w14:textId="3A25E8A6" w:rsidR="00801302" w:rsidRPr="00C142F2" w:rsidRDefault="00771036"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“Somewhat important” emerged in Cohort II (7%) and more than tripled in Cohort IV (22%)</w:t>
      </w:r>
      <w:r w:rsidR="00004594" w:rsidRPr="00C142F2">
        <w:rPr>
          <w:rFonts w:ascii="Cambria" w:hAnsi="Cambria"/>
          <w:color w:val="171717" w:themeColor="background2" w:themeShade="1A"/>
        </w:rPr>
        <w:t xml:space="preserve"> and declining again moderately in Cohort V (17%)</w:t>
      </w:r>
      <w:r w:rsidRPr="00C142F2">
        <w:rPr>
          <w:rFonts w:ascii="Cambria" w:hAnsi="Cambria"/>
          <w:color w:val="171717" w:themeColor="background2" w:themeShade="1A"/>
        </w:rPr>
        <w:t xml:space="preserve"> suggesting the importance of new learning about providing daily flex learning time for students is </w:t>
      </w:r>
      <w:r w:rsidR="00004594" w:rsidRPr="00C142F2">
        <w:rPr>
          <w:rFonts w:ascii="Cambria" w:hAnsi="Cambria"/>
          <w:color w:val="171717" w:themeColor="background2" w:themeShade="1A"/>
        </w:rPr>
        <w:t>fluctuating but becoming somewhat less important</w:t>
      </w:r>
      <w:r w:rsidRPr="00C142F2">
        <w:rPr>
          <w:rFonts w:ascii="Cambria" w:hAnsi="Cambria"/>
          <w:color w:val="171717" w:themeColor="background2" w:themeShade="1A"/>
        </w:rPr>
        <w:t xml:space="preserve"> over time. </w:t>
      </w:r>
    </w:p>
    <w:p w14:paraId="5E8D63B9" w14:textId="5B5AEFC9" w:rsidR="008436ED" w:rsidRPr="00BF5C57" w:rsidRDefault="00615E89" w:rsidP="00BF5C57">
      <w:pPr>
        <w:contextualSpacing/>
        <w:rPr>
          <w:rFonts w:ascii="Cambria" w:hAnsi="Cambria"/>
          <w:color w:val="171717" w:themeColor="background2" w:themeShade="1A"/>
        </w:rPr>
      </w:pPr>
      <w:r>
        <w:rPr>
          <w:noProof/>
        </w:rPr>
        <w:drawing>
          <wp:inline distT="0" distB="0" distL="0" distR="0" wp14:anchorId="2D0858D4" wp14:editId="6AE42658">
            <wp:extent cx="6273478" cy="2635885"/>
            <wp:effectExtent l="0" t="0" r="13335" b="18415"/>
            <wp:docPr id="1265832452" name="Chart 1">
              <a:extLst xmlns:a="http://schemas.openxmlformats.org/drawingml/2006/main">
                <a:ext uri="{FF2B5EF4-FFF2-40B4-BE49-F238E27FC236}">
                  <a16:creationId xmlns:a16="http://schemas.microsoft.com/office/drawing/2014/main" id="{06FCCF3A-4F2A-4844-A8FC-C2547CBC1D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8D0085" w14:textId="77777777" w:rsidR="000F6AD3" w:rsidRPr="00BF5C57" w:rsidRDefault="000F6AD3" w:rsidP="00BF5C57">
      <w:pPr>
        <w:contextualSpacing/>
        <w:rPr>
          <w:rFonts w:ascii="Cambria" w:hAnsi="Cambria"/>
          <w:color w:val="171717" w:themeColor="background2" w:themeShade="1A"/>
        </w:rPr>
      </w:pPr>
    </w:p>
    <w:p w14:paraId="3446760A" w14:textId="6A3F0BCC" w:rsidR="00A470F4" w:rsidRDefault="00771036"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lastRenderedPageBreak/>
        <w:t xml:space="preserve">Component 7: </w:t>
      </w:r>
      <w:r w:rsidR="00A470F4" w:rsidRPr="00AB7FA6">
        <w:rPr>
          <w:rFonts w:ascii="Cambria" w:hAnsi="Cambria"/>
          <w:i/>
          <w:iCs/>
          <w:color w:val="171717" w:themeColor="background2" w:themeShade="1A"/>
          <w:sz w:val="24"/>
          <w:szCs w:val="24"/>
        </w:rPr>
        <w:t xml:space="preserve">Using flexible learning time to provide students with strategic, scaffolded instruction </w:t>
      </w:r>
    </w:p>
    <w:p w14:paraId="2CAB0580" w14:textId="77777777" w:rsidR="000E1D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24"/>
          <w:szCs w:val="24"/>
        </w:rPr>
      </w:pPr>
    </w:p>
    <w:p w14:paraId="787F0207" w14:textId="4AADD6CC" w:rsidR="00731D7B" w:rsidRPr="00C142F2" w:rsidRDefault="00731D7B"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 xml:space="preserve">A higher percentage of participants identified this item as very important in Cohort II (62%)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(50%)</w:t>
      </w:r>
      <w:r w:rsidR="004E4995" w:rsidRPr="00C142F2">
        <w:rPr>
          <w:rFonts w:ascii="Cambria" w:hAnsi="Cambria"/>
          <w:color w:val="171717" w:themeColor="background2" w:themeShade="1A"/>
        </w:rPr>
        <w:t>,</w:t>
      </w:r>
      <w:r w:rsidR="00771036" w:rsidRPr="00C142F2">
        <w:rPr>
          <w:rFonts w:ascii="Cambria" w:hAnsi="Cambria"/>
          <w:color w:val="171717" w:themeColor="background2" w:themeShade="1A"/>
        </w:rPr>
        <w:t xml:space="preserve"> Cohort IV (44%)</w:t>
      </w:r>
      <w:r w:rsidR="004E4995" w:rsidRPr="00C142F2">
        <w:rPr>
          <w:rFonts w:ascii="Cambria" w:hAnsi="Cambria"/>
          <w:color w:val="171717" w:themeColor="background2" w:themeShade="1A"/>
        </w:rPr>
        <w:t>, or Cohort V (44%)</w:t>
      </w:r>
      <w:r w:rsidR="00771036" w:rsidRPr="00C142F2">
        <w:rPr>
          <w:rFonts w:ascii="Cambria" w:hAnsi="Cambria"/>
          <w:color w:val="171717" w:themeColor="background2" w:themeShade="1A"/>
        </w:rPr>
        <w:t xml:space="preserve"> suggesting using flexible learning time to provide students with strategic scaffolded instruction (</w:t>
      </w:r>
      <w:proofErr w:type="gramStart"/>
      <w:r w:rsidR="00771036" w:rsidRPr="00C142F2">
        <w:rPr>
          <w:rFonts w:ascii="Cambria" w:hAnsi="Cambria"/>
          <w:color w:val="171717" w:themeColor="background2" w:themeShade="1A"/>
        </w:rPr>
        <w:t>similar to</w:t>
      </w:r>
      <w:proofErr w:type="gramEnd"/>
      <w:r w:rsidR="00771036" w:rsidRPr="00C142F2">
        <w:rPr>
          <w:rFonts w:ascii="Cambria" w:hAnsi="Cambria"/>
          <w:color w:val="171717" w:themeColor="background2" w:themeShade="1A"/>
        </w:rPr>
        <w:t xml:space="preserve"> Component 6) might be declining in importance </w:t>
      </w:r>
      <w:r w:rsidR="004E4995" w:rsidRPr="00C142F2">
        <w:rPr>
          <w:rFonts w:ascii="Cambria" w:hAnsi="Cambria"/>
          <w:color w:val="171717" w:themeColor="background2" w:themeShade="1A"/>
        </w:rPr>
        <w:t xml:space="preserve">modestly </w:t>
      </w:r>
      <w:r w:rsidR="00771036" w:rsidRPr="00C142F2">
        <w:rPr>
          <w:rFonts w:ascii="Cambria" w:hAnsi="Cambria"/>
          <w:color w:val="171717" w:themeColor="background2" w:themeShade="1A"/>
        </w:rPr>
        <w:t>over time.</w:t>
      </w:r>
    </w:p>
    <w:p w14:paraId="3A11D14C" w14:textId="77777777" w:rsidR="007626AD" w:rsidRDefault="007626AD" w:rsidP="00C142F2">
      <w:pPr>
        <w:pStyle w:val="ListParagraph"/>
        <w:spacing w:before="0" w:beforeAutospacing="0" w:after="0" w:afterAutospacing="0"/>
        <w:ind w:left="1440"/>
        <w:contextualSpacing/>
        <w:rPr>
          <w:rFonts w:ascii="Cambria" w:hAnsi="Cambria"/>
          <w:color w:val="171717" w:themeColor="background2" w:themeShade="1A"/>
          <w:sz w:val="24"/>
          <w:szCs w:val="24"/>
        </w:rPr>
      </w:pPr>
    </w:p>
    <w:p w14:paraId="0EEFD751" w14:textId="39BAD91C" w:rsidR="00801302" w:rsidRPr="00AB7FA6" w:rsidRDefault="007626AD" w:rsidP="00AB7FA6">
      <w:pPr>
        <w:contextualSpacing/>
        <w:rPr>
          <w:rFonts w:ascii="Cambria" w:hAnsi="Cambria"/>
          <w:color w:val="171717" w:themeColor="background2" w:themeShade="1A"/>
        </w:rPr>
      </w:pPr>
      <w:r>
        <w:rPr>
          <w:noProof/>
        </w:rPr>
        <w:drawing>
          <wp:inline distT="0" distB="0" distL="0" distR="0" wp14:anchorId="4BBEFFE9" wp14:editId="1C023DF1">
            <wp:extent cx="6400800" cy="2598516"/>
            <wp:effectExtent l="0" t="0" r="12700" b="17780"/>
            <wp:docPr id="192215112" name="Chart 1">
              <a:extLst xmlns:a="http://schemas.openxmlformats.org/drawingml/2006/main">
                <a:ext uri="{FF2B5EF4-FFF2-40B4-BE49-F238E27FC236}">
                  <a16:creationId xmlns:a16="http://schemas.microsoft.com/office/drawing/2014/main" id="{70DFFF99-8957-5A02-A2C2-A2B73323BF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97ECC76"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0E2B1AB4" w14:textId="4F23BFB8" w:rsidR="00A470F4" w:rsidRDefault="00801302"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 xml:space="preserve">Component 8: </w:t>
      </w:r>
      <w:r w:rsidR="00A470F4" w:rsidRPr="00AB7FA6">
        <w:rPr>
          <w:rFonts w:ascii="Cambria" w:hAnsi="Cambria"/>
          <w:i/>
          <w:iCs/>
          <w:color w:val="171717" w:themeColor="background2" w:themeShade="1A"/>
          <w:sz w:val="24"/>
          <w:szCs w:val="24"/>
        </w:rPr>
        <w:t xml:space="preserve">Embedding the formative assessment process in the personalized learning cycle </w:t>
      </w:r>
    </w:p>
    <w:p w14:paraId="49A2F91E"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35738A56" w14:textId="324821EE" w:rsidR="00801302" w:rsidRPr="000E1DF2" w:rsidRDefault="00731D7B" w:rsidP="00C142F2">
      <w:pPr>
        <w:ind w:left="720"/>
      </w:pPr>
      <w:r w:rsidRPr="00C142F2">
        <w:rPr>
          <w:rFonts w:ascii="Cambria" w:hAnsi="Cambria"/>
          <w:color w:val="171717" w:themeColor="background2" w:themeShade="1A"/>
        </w:rPr>
        <w:t xml:space="preserve">A higher percentage of participants identified this item as very important in Cohort II (92%)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(64%)</w:t>
      </w:r>
      <w:r w:rsidR="004E4995" w:rsidRPr="00C142F2">
        <w:rPr>
          <w:rFonts w:ascii="Cambria" w:hAnsi="Cambria"/>
          <w:color w:val="171717" w:themeColor="background2" w:themeShade="1A"/>
        </w:rPr>
        <w:t xml:space="preserve">, </w:t>
      </w:r>
      <w:r w:rsidR="00801302" w:rsidRPr="00C142F2">
        <w:rPr>
          <w:rFonts w:ascii="Cambria" w:hAnsi="Cambria"/>
          <w:color w:val="171717" w:themeColor="background2" w:themeShade="1A"/>
        </w:rPr>
        <w:t xml:space="preserve">Cohort </w:t>
      </w:r>
      <w:r w:rsidR="004E4995" w:rsidRPr="00C142F2">
        <w:rPr>
          <w:rFonts w:ascii="Cambria" w:hAnsi="Cambria"/>
          <w:color w:val="171717" w:themeColor="background2" w:themeShade="1A"/>
        </w:rPr>
        <w:t xml:space="preserve">IV </w:t>
      </w:r>
      <w:r w:rsidR="00801302" w:rsidRPr="00C142F2">
        <w:rPr>
          <w:rFonts w:ascii="Cambria" w:hAnsi="Cambria"/>
          <w:color w:val="171717" w:themeColor="background2" w:themeShade="1A"/>
        </w:rPr>
        <w:t>(78%)</w:t>
      </w:r>
      <w:r w:rsidR="004E4995" w:rsidRPr="00C142F2">
        <w:rPr>
          <w:rFonts w:ascii="Cambria" w:hAnsi="Cambria"/>
          <w:color w:val="171717" w:themeColor="background2" w:themeShade="1A"/>
        </w:rPr>
        <w:t>, or Cohort V (72%)</w:t>
      </w:r>
      <w:r w:rsidR="00801302" w:rsidRPr="00C142F2">
        <w:rPr>
          <w:rFonts w:ascii="Cambria" w:hAnsi="Cambria"/>
          <w:color w:val="171717" w:themeColor="background2" w:themeShade="1A"/>
        </w:rPr>
        <w:t xml:space="preserve"> although its perceived importance seemed to bounce back somewhat between Cohorts III and IV</w:t>
      </w:r>
      <w:r w:rsidR="004E4995" w:rsidRPr="00C142F2">
        <w:rPr>
          <w:rFonts w:ascii="Cambria" w:hAnsi="Cambria"/>
          <w:color w:val="171717" w:themeColor="background2" w:themeShade="1A"/>
        </w:rPr>
        <w:t xml:space="preserve"> and then settle somewhere in the middle between Cohorts III and IV in Cohort V. </w:t>
      </w:r>
      <w:r w:rsidR="00801302" w:rsidRPr="00C142F2">
        <w:rPr>
          <w:rFonts w:ascii="Cambria" w:hAnsi="Cambria"/>
          <w:color w:val="171717" w:themeColor="background2" w:themeShade="1A"/>
        </w:rPr>
        <w:t xml:space="preserve"> </w:t>
      </w:r>
    </w:p>
    <w:p w14:paraId="13F5BE39" w14:textId="144A87AC" w:rsidR="000511AE" w:rsidRPr="00C142F2" w:rsidRDefault="007626AD" w:rsidP="00C142F2">
      <w:pPr>
        <w:contextualSpacing/>
        <w:rPr>
          <w:rFonts w:ascii="Cambria" w:hAnsi="Cambria"/>
          <w:color w:val="171717" w:themeColor="background2" w:themeShade="1A"/>
        </w:rPr>
      </w:pPr>
      <w:r>
        <w:rPr>
          <w:noProof/>
        </w:rPr>
        <w:drawing>
          <wp:inline distT="0" distB="0" distL="0" distR="0" wp14:anchorId="247AAA97" wp14:editId="343486D0">
            <wp:extent cx="6400800" cy="2476982"/>
            <wp:effectExtent l="0" t="0" r="12700" b="12700"/>
            <wp:docPr id="1483750088" name="Chart 1">
              <a:extLst xmlns:a="http://schemas.openxmlformats.org/drawingml/2006/main">
                <a:ext uri="{FF2B5EF4-FFF2-40B4-BE49-F238E27FC236}">
                  <a16:creationId xmlns:a16="http://schemas.microsoft.com/office/drawing/2014/main" id="{1EA90FF1-956C-D0FE-8DB3-C08C04706F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3E7B9E7" w14:textId="77777777" w:rsidR="00731D7B" w:rsidRPr="00C142F2" w:rsidRDefault="00731D7B" w:rsidP="00C142F2">
      <w:pPr>
        <w:contextualSpacing/>
        <w:rPr>
          <w:rFonts w:ascii="Cambria" w:hAnsi="Cambria"/>
          <w:color w:val="171717" w:themeColor="background2" w:themeShade="1A"/>
        </w:rPr>
      </w:pPr>
    </w:p>
    <w:p w14:paraId="26AC204B" w14:textId="71259A02" w:rsidR="00A470F4" w:rsidRDefault="00D826F7"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lastRenderedPageBreak/>
        <w:t>Component 9:</w:t>
      </w:r>
      <w:r w:rsidR="00A3103F">
        <w:rPr>
          <w:rFonts w:ascii="Cambria" w:hAnsi="Cambria"/>
          <w:i/>
          <w:iCs/>
          <w:color w:val="171717" w:themeColor="background2" w:themeShade="1A"/>
          <w:sz w:val="24"/>
          <w:szCs w:val="24"/>
        </w:rPr>
        <w:t xml:space="preserve"> </w:t>
      </w:r>
      <w:r w:rsidR="00A470F4" w:rsidRPr="00AB7FA6">
        <w:rPr>
          <w:rFonts w:ascii="Cambria" w:hAnsi="Cambria"/>
          <w:i/>
          <w:iCs/>
          <w:color w:val="171717" w:themeColor="background2" w:themeShade="1A"/>
          <w:sz w:val="24"/>
          <w:szCs w:val="24"/>
        </w:rPr>
        <w:t xml:space="preserve">Using summative assessment practices in the personalized learning cycle </w:t>
      </w:r>
    </w:p>
    <w:p w14:paraId="4D5A3D03"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46A34ABC" w14:textId="4AE8A668" w:rsidR="00D61824" w:rsidRPr="00C142F2" w:rsidRDefault="00D61824"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 xml:space="preserve">A higher percentage of participants identified this item as very important in Cohort II (64%)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(3</w:t>
      </w:r>
      <w:r w:rsidR="00D626BB" w:rsidRPr="00C142F2">
        <w:rPr>
          <w:rFonts w:ascii="Cambria" w:hAnsi="Cambria"/>
          <w:color w:val="171717" w:themeColor="background2" w:themeShade="1A"/>
        </w:rPr>
        <w:t>6</w:t>
      </w:r>
      <w:r w:rsidRPr="00C142F2">
        <w:rPr>
          <w:rFonts w:ascii="Cambria" w:hAnsi="Cambria"/>
          <w:color w:val="171717" w:themeColor="background2" w:themeShade="1A"/>
        </w:rPr>
        <w:t>%)</w:t>
      </w:r>
      <w:r w:rsidR="00B97878">
        <w:rPr>
          <w:rFonts w:ascii="Cambria" w:hAnsi="Cambria"/>
          <w:color w:val="171717" w:themeColor="background2" w:themeShade="1A"/>
        </w:rPr>
        <w:t>,</w:t>
      </w:r>
      <w:r w:rsidRPr="00C142F2">
        <w:rPr>
          <w:rFonts w:ascii="Cambria" w:hAnsi="Cambria"/>
          <w:color w:val="171717" w:themeColor="background2" w:themeShade="1A"/>
        </w:rPr>
        <w:t xml:space="preserve"> </w:t>
      </w:r>
      <w:r w:rsidR="008F296B" w:rsidRPr="00C142F2">
        <w:rPr>
          <w:rFonts w:ascii="Cambria" w:hAnsi="Cambria"/>
          <w:color w:val="171717" w:themeColor="background2" w:themeShade="1A"/>
        </w:rPr>
        <w:t>Cohort IV (50%)</w:t>
      </w:r>
      <w:r w:rsidR="000511AE" w:rsidRPr="00C142F2">
        <w:rPr>
          <w:rFonts w:ascii="Cambria" w:hAnsi="Cambria"/>
          <w:color w:val="171717" w:themeColor="background2" w:themeShade="1A"/>
        </w:rPr>
        <w:t>, or Cohort V (61%)</w:t>
      </w:r>
      <w:r w:rsidR="008F296B" w:rsidRPr="00C142F2">
        <w:rPr>
          <w:rFonts w:ascii="Cambria" w:hAnsi="Cambria"/>
          <w:color w:val="171717" w:themeColor="background2" w:themeShade="1A"/>
        </w:rPr>
        <w:t>. Again, as with Component 8</w:t>
      </w:r>
      <w:r w:rsidR="00B97878">
        <w:rPr>
          <w:rFonts w:ascii="Cambria" w:hAnsi="Cambria"/>
          <w:color w:val="171717" w:themeColor="background2" w:themeShade="1A"/>
        </w:rPr>
        <w:t>,</w:t>
      </w:r>
      <w:r w:rsidR="008F296B" w:rsidRPr="00C142F2">
        <w:rPr>
          <w:rFonts w:ascii="Cambria" w:hAnsi="Cambria"/>
          <w:color w:val="171717" w:themeColor="background2" w:themeShade="1A"/>
        </w:rPr>
        <w:t xml:space="preserve"> the importance of future learning about using summative assessment practices in the personalized learning cycle increased from Cohorts III to IV after dropping off sharply from Cohorts II to III.</w:t>
      </w:r>
      <w:r w:rsidR="000511AE" w:rsidRPr="00C142F2">
        <w:rPr>
          <w:rFonts w:ascii="Cambria" w:hAnsi="Cambria"/>
          <w:color w:val="171717" w:themeColor="background2" w:themeShade="1A"/>
        </w:rPr>
        <w:t xml:space="preserve"> In Cohort V there was an uptick in “very important” responses but also an increase in “somewhat important” responses. </w:t>
      </w:r>
    </w:p>
    <w:p w14:paraId="43EE2866" w14:textId="21977007" w:rsidR="008F296B" w:rsidRPr="00C142F2" w:rsidRDefault="007626AD" w:rsidP="00C142F2">
      <w:pPr>
        <w:contextualSpacing/>
        <w:rPr>
          <w:rFonts w:ascii="Cambria" w:hAnsi="Cambria"/>
          <w:color w:val="171717" w:themeColor="background2" w:themeShade="1A"/>
        </w:rPr>
      </w:pPr>
      <w:r>
        <w:rPr>
          <w:noProof/>
        </w:rPr>
        <w:drawing>
          <wp:inline distT="0" distB="0" distL="0" distR="0" wp14:anchorId="49B17FC1" wp14:editId="2F199BC3">
            <wp:extent cx="6550660" cy="2448046"/>
            <wp:effectExtent l="0" t="0" r="15240" b="15875"/>
            <wp:docPr id="352194938" name="Chart 1">
              <a:extLst xmlns:a="http://schemas.openxmlformats.org/drawingml/2006/main">
                <a:ext uri="{FF2B5EF4-FFF2-40B4-BE49-F238E27FC236}">
                  <a16:creationId xmlns:a16="http://schemas.microsoft.com/office/drawing/2014/main" id="{DE492D4B-C7A7-1222-C78B-6E4B66279C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EEF37E6" w14:textId="77777777" w:rsidR="008F296B" w:rsidRPr="00C142F2" w:rsidRDefault="008F296B" w:rsidP="00C142F2">
      <w:pPr>
        <w:contextualSpacing/>
        <w:rPr>
          <w:rFonts w:ascii="Cambria" w:hAnsi="Cambria"/>
          <w:i/>
          <w:iCs/>
          <w:color w:val="171717" w:themeColor="background2" w:themeShade="1A"/>
        </w:rPr>
      </w:pPr>
    </w:p>
    <w:p w14:paraId="345F99DD" w14:textId="6472ADA1" w:rsidR="00A470F4" w:rsidRDefault="008F296B"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 xml:space="preserve">Component 10: </w:t>
      </w:r>
      <w:r w:rsidR="00A470F4" w:rsidRPr="00AB7FA6">
        <w:rPr>
          <w:rFonts w:ascii="Cambria" w:hAnsi="Cambria"/>
          <w:i/>
          <w:iCs/>
          <w:color w:val="171717" w:themeColor="background2" w:themeShade="1A"/>
          <w:sz w:val="24"/>
          <w:szCs w:val="24"/>
        </w:rPr>
        <w:t xml:space="preserve">Employing student self- and peer-assessment </w:t>
      </w:r>
    </w:p>
    <w:p w14:paraId="751DDFDC"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4E3D8B81" w14:textId="2A6CB8FC" w:rsidR="008960D0" w:rsidRPr="000E1DF2" w:rsidRDefault="000010EC" w:rsidP="00C142F2">
      <w:pPr>
        <w:ind w:left="720"/>
      </w:pPr>
      <w:r w:rsidRPr="00C142F2">
        <w:rPr>
          <w:rFonts w:ascii="Cambria" w:hAnsi="Cambria"/>
          <w:color w:val="171717" w:themeColor="background2" w:themeShade="1A"/>
        </w:rPr>
        <w:t xml:space="preserve">A higher percentage of participants identified this item as very important in Cohort II (69%)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(4</w:t>
      </w:r>
      <w:r w:rsidR="00D626BB" w:rsidRPr="00C142F2">
        <w:rPr>
          <w:rFonts w:ascii="Cambria" w:hAnsi="Cambria"/>
          <w:color w:val="171717" w:themeColor="background2" w:themeShade="1A"/>
        </w:rPr>
        <w:t>3</w:t>
      </w:r>
      <w:r w:rsidRPr="00C142F2">
        <w:rPr>
          <w:rFonts w:ascii="Cambria" w:hAnsi="Cambria"/>
          <w:color w:val="171717" w:themeColor="background2" w:themeShade="1A"/>
        </w:rPr>
        <w:t>%)</w:t>
      </w:r>
      <w:r w:rsidR="008F296B" w:rsidRPr="00C142F2">
        <w:rPr>
          <w:rFonts w:ascii="Cambria" w:hAnsi="Cambria"/>
          <w:color w:val="171717" w:themeColor="background2" w:themeShade="1A"/>
        </w:rPr>
        <w:t xml:space="preserve">. While employing self- and peer-assessment remained important for Cohort IV members, its importance waned slightly from Cohorts III to IV. </w:t>
      </w:r>
      <w:r w:rsidR="000511AE" w:rsidRPr="00C142F2">
        <w:rPr>
          <w:rFonts w:ascii="Cambria" w:hAnsi="Cambria"/>
          <w:color w:val="171717" w:themeColor="background2" w:themeShade="1A"/>
        </w:rPr>
        <w:t>In Cohort V, the importance of self- and peer-assessment increased considerably. All Cohort V participants indicated that employing self- and peer-assessment was important (33%) or very important (67%).</w:t>
      </w:r>
    </w:p>
    <w:p w14:paraId="4FB43DD3" w14:textId="64DB84BE" w:rsidR="000010EC" w:rsidRPr="00BF5C57" w:rsidRDefault="007626AD" w:rsidP="00C142F2">
      <w:pPr>
        <w:tabs>
          <w:tab w:val="left" w:pos="2306"/>
        </w:tabs>
        <w:rPr>
          <w:rFonts w:ascii="Cambria" w:hAnsi="Cambria"/>
          <w:color w:val="171717" w:themeColor="background2" w:themeShade="1A"/>
        </w:rPr>
      </w:pPr>
      <w:r>
        <w:rPr>
          <w:noProof/>
        </w:rPr>
        <w:drawing>
          <wp:inline distT="0" distB="0" distL="0" distR="0" wp14:anchorId="7652BEDA" wp14:editId="46026B6C">
            <wp:extent cx="6614932" cy="2621280"/>
            <wp:effectExtent l="0" t="0" r="14605" b="7620"/>
            <wp:docPr id="169869059" name="Chart 1">
              <a:extLst xmlns:a="http://schemas.openxmlformats.org/drawingml/2006/main">
                <a:ext uri="{FF2B5EF4-FFF2-40B4-BE49-F238E27FC236}">
                  <a16:creationId xmlns:a16="http://schemas.microsoft.com/office/drawing/2014/main" id="{202BBE1E-3446-084A-77B9-86668C5033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29E8B1A" w14:textId="215B1099" w:rsidR="00A470F4" w:rsidRDefault="00AB6F47"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lastRenderedPageBreak/>
        <w:t xml:space="preserve">Component 11: </w:t>
      </w:r>
      <w:r w:rsidR="00A470F4" w:rsidRPr="00AB7FA6">
        <w:rPr>
          <w:rFonts w:ascii="Cambria" w:hAnsi="Cambria"/>
          <w:i/>
          <w:iCs/>
          <w:color w:val="171717" w:themeColor="background2" w:themeShade="1A"/>
          <w:sz w:val="24"/>
          <w:szCs w:val="24"/>
        </w:rPr>
        <w:t xml:space="preserve">Constructing or administering performance assessments that facilitate the transfer of knowledge to challenging new contexts </w:t>
      </w:r>
    </w:p>
    <w:p w14:paraId="38435AF5"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5C85E7C6" w14:textId="086E7843" w:rsidR="000511AE" w:rsidRPr="00C142F2" w:rsidRDefault="000010EC"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 xml:space="preserve">A higher percentage of participants identified this item as very important in Cohort II (85%)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w:t>
      </w:r>
      <w:r w:rsidR="00D626BB" w:rsidRPr="00C142F2">
        <w:rPr>
          <w:rFonts w:ascii="Cambria" w:hAnsi="Cambria"/>
          <w:color w:val="171717" w:themeColor="background2" w:themeShade="1A"/>
        </w:rPr>
        <w:t>57</w:t>
      </w:r>
      <w:r w:rsidRPr="00C142F2">
        <w:rPr>
          <w:rFonts w:ascii="Cambria" w:hAnsi="Cambria"/>
          <w:color w:val="171717" w:themeColor="background2" w:themeShade="1A"/>
        </w:rPr>
        <w:t>%)</w:t>
      </w:r>
      <w:r w:rsidR="00EF148F" w:rsidRPr="00C142F2">
        <w:rPr>
          <w:rFonts w:ascii="Cambria" w:hAnsi="Cambria"/>
          <w:color w:val="171717" w:themeColor="background2" w:themeShade="1A"/>
        </w:rPr>
        <w:t xml:space="preserve">. Component 11 was less polarizing in Cohorts III and IV than in Cohort II as is demonstrated by simultaneous decreases in both its strong importance and its marginal importance. </w:t>
      </w:r>
      <w:r w:rsidR="000511AE" w:rsidRPr="00C142F2">
        <w:rPr>
          <w:rFonts w:ascii="Cambria" w:hAnsi="Cambria"/>
          <w:color w:val="171717" w:themeColor="background2" w:themeShade="1A"/>
        </w:rPr>
        <w:t>In Cohort V, “somewhat important” responses disappears and there was a considerable increase in “very important responses” (78%).</w:t>
      </w:r>
    </w:p>
    <w:p w14:paraId="265331AF" w14:textId="389FCE60" w:rsidR="00EF148F" w:rsidRPr="00C142F2" w:rsidRDefault="007626AD" w:rsidP="00C142F2">
      <w:pPr>
        <w:contextualSpacing/>
        <w:rPr>
          <w:rFonts w:ascii="Cambria" w:hAnsi="Cambria"/>
          <w:color w:val="171717" w:themeColor="background2" w:themeShade="1A"/>
        </w:rPr>
      </w:pPr>
      <w:r>
        <w:rPr>
          <w:noProof/>
        </w:rPr>
        <w:drawing>
          <wp:inline distT="0" distB="0" distL="0" distR="0" wp14:anchorId="65BD181B" wp14:editId="52B7E8D9">
            <wp:extent cx="6602730" cy="2494344"/>
            <wp:effectExtent l="0" t="0" r="13970" b="7620"/>
            <wp:docPr id="427097956" name="Chart 1">
              <a:extLst xmlns:a="http://schemas.openxmlformats.org/drawingml/2006/main">
                <a:ext uri="{FF2B5EF4-FFF2-40B4-BE49-F238E27FC236}">
                  <a16:creationId xmlns:a16="http://schemas.microsoft.com/office/drawing/2014/main" id="{35B0D825-2B47-BD22-566A-D5EC431896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7F6532A" w14:textId="77777777" w:rsidR="00E04A09" w:rsidRPr="00C142F2" w:rsidRDefault="00E04A09" w:rsidP="00C142F2">
      <w:pPr>
        <w:contextualSpacing/>
        <w:rPr>
          <w:rFonts w:ascii="Cambria" w:hAnsi="Cambria"/>
          <w:i/>
          <w:iCs/>
          <w:color w:val="171717" w:themeColor="background2" w:themeShade="1A"/>
        </w:rPr>
      </w:pPr>
    </w:p>
    <w:p w14:paraId="274B39CA" w14:textId="630F4075" w:rsidR="00A470F4" w:rsidRDefault="00E04A09"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 xml:space="preserve">Component 12: </w:t>
      </w:r>
      <w:r w:rsidR="00A470F4" w:rsidRPr="00AB7FA6">
        <w:rPr>
          <w:rFonts w:ascii="Cambria" w:hAnsi="Cambria"/>
          <w:i/>
          <w:iCs/>
          <w:color w:val="171717" w:themeColor="background2" w:themeShade="1A"/>
          <w:sz w:val="24"/>
          <w:szCs w:val="24"/>
        </w:rPr>
        <w:t xml:space="preserve">Working with students to clarify next steps for their individualized learning </w:t>
      </w:r>
    </w:p>
    <w:p w14:paraId="693C7EE8"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5516C691" w14:textId="01591587" w:rsidR="009A7CBA" w:rsidRPr="00C142F2" w:rsidRDefault="000010EC"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 xml:space="preserve">A higher percentage of participants identified this item as very important in Cohort II (77%)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w:t>
      </w:r>
      <w:r w:rsidR="00D93E9A" w:rsidRPr="00C142F2">
        <w:rPr>
          <w:rFonts w:ascii="Cambria" w:hAnsi="Cambria"/>
          <w:color w:val="171717" w:themeColor="background2" w:themeShade="1A"/>
        </w:rPr>
        <w:t>50</w:t>
      </w:r>
      <w:r w:rsidRPr="00C142F2">
        <w:rPr>
          <w:rFonts w:ascii="Cambria" w:hAnsi="Cambria"/>
          <w:color w:val="171717" w:themeColor="background2" w:themeShade="1A"/>
        </w:rPr>
        <w:t>%)</w:t>
      </w:r>
      <w:r w:rsidR="009A7CBA" w:rsidRPr="00C142F2">
        <w:rPr>
          <w:rFonts w:ascii="Cambria" w:hAnsi="Cambria"/>
          <w:color w:val="171717" w:themeColor="background2" w:themeShade="1A"/>
        </w:rPr>
        <w:t>. As with Components 8 and 9, the importance of future learning about working with students to clarify next steps for their individualized learning increased from Cohorts III to IV after dropping off sharply from Cohorts II to III.</w:t>
      </w:r>
      <w:r w:rsidR="000511AE" w:rsidRPr="00C142F2">
        <w:rPr>
          <w:rFonts w:ascii="Cambria" w:hAnsi="Cambria"/>
          <w:color w:val="171717" w:themeColor="background2" w:themeShade="1A"/>
        </w:rPr>
        <w:t xml:space="preserve"> Cohort V solidified this trend, as the Cohort IV and V responses were identical.</w:t>
      </w:r>
    </w:p>
    <w:p w14:paraId="6BF6FF8A" w14:textId="16D666AF" w:rsidR="009A7CBA" w:rsidRPr="00C142F2" w:rsidRDefault="007626AD" w:rsidP="00C142F2">
      <w:pPr>
        <w:contextualSpacing/>
        <w:rPr>
          <w:rFonts w:ascii="Cambria" w:hAnsi="Cambria"/>
          <w:i/>
          <w:iCs/>
          <w:color w:val="171717" w:themeColor="background2" w:themeShade="1A"/>
        </w:rPr>
      </w:pPr>
      <w:r>
        <w:rPr>
          <w:noProof/>
        </w:rPr>
        <w:drawing>
          <wp:inline distT="0" distB="0" distL="0" distR="0" wp14:anchorId="3BACFE14" wp14:editId="7DB68E70">
            <wp:extent cx="6562846" cy="2297575"/>
            <wp:effectExtent l="0" t="0" r="15875" b="13970"/>
            <wp:docPr id="1613286712" name="Chart 1">
              <a:extLst xmlns:a="http://schemas.openxmlformats.org/drawingml/2006/main">
                <a:ext uri="{FF2B5EF4-FFF2-40B4-BE49-F238E27FC236}">
                  <a16:creationId xmlns:a16="http://schemas.microsoft.com/office/drawing/2014/main" id="{9D807A18-DC09-B632-91A1-C51DB3C6A8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BF4CFF4" w14:textId="1BA5A2F8" w:rsidR="00A470F4" w:rsidRDefault="009A7CBA"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lastRenderedPageBreak/>
        <w:t xml:space="preserve">Component 13: </w:t>
      </w:r>
      <w:r w:rsidR="00A470F4" w:rsidRPr="00AB7FA6">
        <w:rPr>
          <w:rFonts w:ascii="Cambria" w:hAnsi="Cambria"/>
          <w:i/>
          <w:iCs/>
          <w:color w:val="171717" w:themeColor="background2" w:themeShade="1A"/>
          <w:sz w:val="24"/>
          <w:szCs w:val="24"/>
        </w:rPr>
        <w:t>Using student assessment information to plan for my own professional learning</w:t>
      </w:r>
    </w:p>
    <w:p w14:paraId="0E1A2CC8" w14:textId="77777777" w:rsidR="000E1DF2" w:rsidRPr="00C142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29B742C5" w14:textId="42B82AE2" w:rsidR="007626AD" w:rsidRPr="00C142F2" w:rsidRDefault="009A7CBA"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 xml:space="preserve">In both Cohorts II and III, a minority of Cohort Members perceived using student </w:t>
      </w:r>
      <w:r w:rsidR="00BE5C44" w:rsidRPr="00C142F2">
        <w:rPr>
          <w:rFonts w:ascii="Cambria" w:hAnsi="Cambria"/>
          <w:color w:val="171717" w:themeColor="background2" w:themeShade="1A"/>
        </w:rPr>
        <w:t xml:space="preserve">assessment information to plan for their professional learning </w:t>
      </w:r>
      <w:r w:rsidRPr="00C142F2">
        <w:rPr>
          <w:rFonts w:ascii="Cambria" w:hAnsi="Cambria"/>
          <w:color w:val="171717" w:themeColor="background2" w:themeShade="1A"/>
        </w:rPr>
        <w:t xml:space="preserve">as marginally or unimportant. In Cohort IV all Cohort members indicated that this component was important or very important. </w:t>
      </w:r>
      <w:r w:rsidR="000E1DF2" w:rsidRPr="00C142F2">
        <w:rPr>
          <w:rFonts w:ascii="Cambria" w:hAnsi="Cambria"/>
          <w:color w:val="171717" w:themeColor="background2" w:themeShade="1A"/>
        </w:rPr>
        <w:t xml:space="preserve">While “somewhat important” emerged in Cohort V, the indications of “very important” also increased. </w:t>
      </w:r>
    </w:p>
    <w:p w14:paraId="16E25E1C" w14:textId="43667E3C" w:rsidR="007626AD" w:rsidRPr="00C142F2" w:rsidRDefault="00615E89" w:rsidP="00C142F2">
      <w:pPr>
        <w:contextualSpacing/>
        <w:rPr>
          <w:rFonts w:ascii="Cambria" w:hAnsi="Cambria"/>
          <w:color w:val="171717" w:themeColor="background2" w:themeShade="1A"/>
        </w:rPr>
      </w:pPr>
      <w:r>
        <w:rPr>
          <w:noProof/>
        </w:rPr>
        <w:drawing>
          <wp:inline distT="0" distB="0" distL="0" distR="0" wp14:anchorId="67A4557A" wp14:editId="15E4C9CB">
            <wp:extent cx="6533515" cy="2413322"/>
            <wp:effectExtent l="0" t="0" r="6985" b="12700"/>
            <wp:docPr id="1325139748" name="Chart 1">
              <a:extLst xmlns:a="http://schemas.openxmlformats.org/drawingml/2006/main">
                <a:ext uri="{FF2B5EF4-FFF2-40B4-BE49-F238E27FC236}">
                  <a16:creationId xmlns:a16="http://schemas.microsoft.com/office/drawing/2014/main" id="{C3ADFE01-306F-468E-6F87-00A35317B0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1BC7633" w14:textId="4E0595D8" w:rsidR="000E1DF2" w:rsidRDefault="000E1DF2" w:rsidP="00C142F2">
      <w:pPr>
        <w:pStyle w:val="ListParagraph"/>
        <w:spacing w:before="0" w:beforeAutospacing="0" w:after="0" w:afterAutospacing="0"/>
        <w:ind w:left="720"/>
        <w:contextualSpacing/>
        <w:rPr>
          <w:rFonts w:ascii="Cambria" w:hAnsi="Cambria"/>
          <w:i/>
          <w:iCs/>
          <w:color w:val="171717" w:themeColor="background2" w:themeShade="1A"/>
          <w:sz w:val="24"/>
          <w:szCs w:val="24"/>
        </w:rPr>
      </w:pPr>
    </w:p>
    <w:p w14:paraId="49DA87C0" w14:textId="4C2C21F3" w:rsidR="00A470F4" w:rsidRDefault="000E1DF2"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C</w:t>
      </w:r>
      <w:r w:rsidR="006E752C">
        <w:rPr>
          <w:rFonts w:ascii="Cambria" w:hAnsi="Cambria"/>
          <w:i/>
          <w:iCs/>
          <w:color w:val="171717" w:themeColor="background2" w:themeShade="1A"/>
          <w:sz w:val="24"/>
          <w:szCs w:val="24"/>
        </w:rPr>
        <w:t xml:space="preserve">omponent 14: </w:t>
      </w:r>
      <w:r w:rsidR="00A470F4" w:rsidRPr="00AB7FA6">
        <w:rPr>
          <w:rFonts w:ascii="Cambria" w:hAnsi="Cambria"/>
          <w:i/>
          <w:iCs/>
          <w:color w:val="171717" w:themeColor="background2" w:themeShade="1A"/>
          <w:sz w:val="24"/>
          <w:szCs w:val="24"/>
        </w:rPr>
        <w:t xml:space="preserve">Communicating student progress in ways that support the learning process and student success </w:t>
      </w:r>
    </w:p>
    <w:p w14:paraId="25CBF847" w14:textId="77777777" w:rsidR="006E752C" w:rsidRPr="00C142F2" w:rsidRDefault="006E752C" w:rsidP="00BF5C57">
      <w:pPr>
        <w:pStyle w:val="ListParagraph"/>
        <w:spacing w:before="0" w:beforeAutospacing="0" w:after="0" w:afterAutospacing="0"/>
        <w:ind w:left="720"/>
        <w:contextualSpacing/>
        <w:rPr>
          <w:rFonts w:ascii="Cambria" w:hAnsi="Cambria"/>
          <w:i/>
          <w:iCs/>
          <w:color w:val="171717" w:themeColor="background2" w:themeShade="1A"/>
          <w:sz w:val="16"/>
          <w:szCs w:val="16"/>
        </w:rPr>
      </w:pPr>
    </w:p>
    <w:p w14:paraId="2A0306B6" w14:textId="28016DBF" w:rsidR="008960D0" w:rsidRPr="00C142F2" w:rsidRDefault="000010EC"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 xml:space="preserve">A higher percentage of participants identified this item as very important in Cohort II (62%)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w:t>
      </w:r>
      <w:r w:rsidR="00D93E9A" w:rsidRPr="00C142F2">
        <w:rPr>
          <w:rFonts w:ascii="Cambria" w:hAnsi="Cambria"/>
          <w:color w:val="171717" w:themeColor="background2" w:themeShade="1A"/>
        </w:rPr>
        <w:t>50</w:t>
      </w:r>
      <w:r w:rsidRPr="00C142F2">
        <w:rPr>
          <w:rFonts w:ascii="Cambria" w:hAnsi="Cambria"/>
          <w:color w:val="171717" w:themeColor="background2" w:themeShade="1A"/>
        </w:rPr>
        <w:t>%)</w:t>
      </w:r>
      <w:r w:rsidR="006E752C" w:rsidRPr="00C142F2">
        <w:rPr>
          <w:rFonts w:ascii="Cambria" w:hAnsi="Cambria"/>
          <w:color w:val="171717" w:themeColor="background2" w:themeShade="1A"/>
        </w:rPr>
        <w:t>. Cohort IV members indicated strong</w:t>
      </w:r>
      <w:r w:rsidR="000E1DF2" w:rsidRPr="00C142F2">
        <w:rPr>
          <w:rFonts w:ascii="Cambria" w:hAnsi="Cambria"/>
          <w:color w:val="171717" w:themeColor="background2" w:themeShade="1A"/>
        </w:rPr>
        <w:t>er</w:t>
      </w:r>
      <w:r w:rsidR="006E752C" w:rsidRPr="00C142F2">
        <w:rPr>
          <w:rFonts w:ascii="Cambria" w:hAnsi="Cambria"/>
          <w:color w:val="171717" w:themeColor="background2" w:themeShade="1A"/>
        </w:rPr>
        <w:t xml:space="preserve"> perceptions of the importance of communicating student progress in ways that support the learning process and student success </w:t>
      </w:r>
      <w:r w:rsidR="000E1DF2" w:rsidRPr="00C142F2">
        <w:rPr>
          <w:rFonts w:ascii="Cambria" w:hAnsi="Cambria"/>
          <w:color w:val="171717" w:themeColor="background2" w:themeShade="1A"/>
        </w:rPr>
        <w:t>than Cohorts II or III, and in Cohort V indications of “very important” rose still higher (78%).</w:t>
      </w:r>
      <w:r w:rsidR="006E752C" w:rsidRPr="00C142F2">
        <w:rPr>
          <w:rFonts w:ascii="Cambria" w:hAnsi="Cambria"/>
          <w:color w:val="171717" w:themeColor="background2" w:themeShade="1A"/>
        </w:rPr>
        <w:t xml:space="preserve"> </w:t>
      </w:r>
    </w:p>
    <w:p w14:paraId="23D6C506" w14:textId="258B3C12" w:rsidR="006E752C" w:rsidRPr="00C142F2" w:rsidRDefault="00615E89" w:rsidP="00C142F2">
      <w:pPr>
        <w:contextualSpacing/>
        <w:rPr>
          <w:rFonts w:ascii="Cambria" w:hAnsi="Cambria"/>
          <w:i/>
          <w:iCs/>
          <w:color w:val="171717" w:themeColor="background2" w:themeShade="1A"/>
        </w:rPr>
      </w:pPr>
      <w:r>
        <w:rPr>
          <w:noProof/>
        </w:rPr>
        <w:drawing>
          <wp:inline distT="0" distB="0" distL="0" distR="0" wp14:anchorId="48E5FFE6" wp14:editId="1FCDF4BC">
            <wp:extent cx="6389225" cy="2743200"/>
            <wp:effectExtent l="0" t="0" r="12065" b="12700"/>
            <wp:docPr id="188831604" name="Chart 1">
              <a:extLst xmlns:a="http://schemas.openxmlformats.org/drawingml/2006/main">
                <a:ext uri="{FF2B5EF4-FFF2-40B4-BE49-F238E27FC236}">
                  <a16:creationId xmlns:a16="http://schemas.microsoft.com/office/drawing/2014/main" id="{0AA7706E-D314-FA66-3A1A-CE75743B76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D8C9D6B" w14:textId="77777777" w:rsidR="003C7C4A" w:rsidRDefault="006E752C" w:rsidP="003C7C4A">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lastRenderedPageBreak/>
        <w:t xml:space="preserve">Component 15: </w:t>
      </w:r>
      <w:r w:rsidR="00A470F4" w:rsidRPr="00AB7FA6">
        <w:rPr>
          <w:rFonts w:ascii="Cambria" w:hAnsi="Cambria"/>
          <w:i/>
          <w:iCs/>
          <w:color w:val="171717" w:themeColor="background2" w:themeShade="1A"/>
          <w:sz w:val="24"/>
          <w:szCs w:val="24"/>
        </w:rPr>
        <w:t>Closely monitoring growth and progress of students based on their learning pathways, not just grade level</w:t>
      </w:r>
    </w:p>
    <w:p w14:paraId="77464D00" w14:textId="77777777" w:rsidR="003C7C4A" w:rsidRPr="00C142F2" w:rsidRDefault="003C7C4A" w:rsidP="003C7C4A">
      <w:pPr>
        <w:contextualSpacing/>
        <w:rPr>
          <w:rFonts w:ascii="Cambria" w:hAnsi="Cambria"/>
          <w:i/>
          <w:iCs/>
          <w:color w:val="171717" w:themeColor="background2" w:themeShade="1A"/>
          <w:sz w:val="16"/>
          <w:szCs w:val="16"/>
        </w:rPr>
      </w:pPr>
    </w:p>
    <w:p w14:paraId="3E9B3B41" w14:textId="7B16CB98" w:rsidR="003C7C4A" w:rsidRPr="00C142F2" w:rsidRDefault="003C7C4A" w:rsidP="00C142F2">
      <w:pPr>
        <w:ind w:left="720"/>
      </w:pPr>
      <w:r w:rsidRPr="00BC6E38">
        <w:rPr>
          <w:rFonts w:ascii="Cambria" w:hAnsi="Cambria"/>
          <w:color w:val="171717" w:themeColor="background2" w:themeShade="1A"/>
        </w:rPr>
        <w:t xml:space="preserve">A higher percentage of participants identified this item as very important in Cohort II (69%) than Cohort III (50%). While Cohort IV members nearly matched the perceived importance of Cohort II, “somewhat important” emerged for the first time. </w:t>
      </w:r>
      <w:r>
        <w:rPr>
          <w:rFonts w:ascii="Cambria" w:hAnsi="Cambria"/>
          <w:color w:val="171717" w:themeColor="background2" w:themeShade="1A"/>
        </w:rPr>
        <w:t xml:space="preserve">Indication of “somewhat important” doubled in Cohort V, but there was also a small increase in “very important” responses. </w:t>
      </w:r>
    </w:p>
    <w:p w14:paraId="3E41CC80" w14:textId="4E765742" w:rsidR="003C7C4A" w:rsidRDefault="003C7C4A" w:rsidP="003C7C4A">
      <w:pPr>
        <w:contextualSpacing/>
        <w:rPr>
          <w:rFonts w:ascii="Cambria" w:hAnsi="Cambria"/>
          <w:i/>
          <w:iCs/>
          <w:color w:val="171717" w:themeColor="background2" w:themeShade="1A"/>
        </w:rPr>
      </w:pPr>
      <w:r>
        <w:rPr>
          <w:noProof/>
        </w:rPr>
        <w:drawing>
          <wp:inline distT="0" distB="0" distL="0" distR="0" wp14:anchorId="2CFE500D" wp14:editId="23033E27">
            <wp:extent cx="6360289" cy="2361236"/>
            <wp:effectExtent l="0" t="0" r="15240" b="13970"/>
            <wp:docPr id="1163775281" name="Chart 1">
              <a:extLst xmlns:a="http://schemas.openxmlformats.org/drawingml/2006/main">
                <a:ext uri="{FF2B5EF4-FFF2-40B4-BE49-F238E27FC236}">
                  <a16:creationId xmlns:a16="http://schemas.microsoft.com/office/drawing/2014/main" id="{66305AD1-CCE9-74AD-D6CA-71B0871314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F9DD08F" w14:textId="77777777" w:rsidR="003C7C4A" w:rsidRPr="00C142F2" w:rsidRDefault="003C7C4A" w:rsidP="00C142F2">
      <w:pPr>
        <w:contextualSpacing/>
        <w:rPr>
          <w:rFonts w:ascii="Cambria" w:hAnsi="Cambria"/>
          <w:i/>
          <w:iCs/>
          <w:color w:val="171717" w:themeColor="background2" w:themeShade="1A"/>
          <w:sz w:val="16"/>
          <w:szCs w:val="16"/>
        </w:rPr>
      </w:pPr>
    </w:p>
    <w:p w14:paraId="5BF98957" w14:textId="6AD2D4D0" w:rsidR="003C7C4A" w:rsidRPr="00C142F2" w:rsidRDefault="003C7C4A" w:rsidP="00C142F2">
      <w:pPr>
        <w:pStyle w:val="ListParagraph"/>
        <w:spacing w:before="0" w:beforeAutospacing="0" w:after="0" w:afterAutospacing="0"/>
        <w:ind w:left="720"/>
        <w:contextualSpacing/>
        <w:rPr>
          <w:rFonts w:ascii="Cambria" w:hAnsi="Cambria"/>
          <w:i/>
          <w:iCs/>
          <w:color w:val="171717" w:themeColor="background2" w:themeShade="1A"/>
          <w:sz w:val="24"/>
          <w:szCs w:val="24"/>
        </w:rPr>
      </w:pPr>
      <w:r w:rsidRPr="00C142F2">
        <w:rPr>
          <w:rFonts w:ascii="Cambria" w:hAnsi="Cambria"/>
          <w:i/>
          <w:iCs/>
          <w:color w:val="171717" w:themeColor="background2" w:themeShade="1A"/>
          <w:sz w:val="24"/>
          <w:szCs w:val="24"/>
        </w:rPr>
        <w:t xml:space="preserve">Component 16: Communicating student progress through evidence-based grading, including learning academic content and applying transferable skills </w:t>
      </w:r>
    </w:p>
    <w:p w14:paraId="3D19F31F" w14:textId="77777777" w:rsidR="003C7C4A" w:rsidRPr="00C142F2" w:rsidRDefault="003C7C4A" w:rsidP="00C142F2">
      <w:pPr>
        <w:pStyle w:val="ListParagraph"/>
        <w:spacing w:before="0" w:beforeAutospacing="0" w:after="0" w:afterAutospacing="0"/>
        <w:ind w:left="720"/>
        <w:contextualSpacing/>
        <w:rPr>
          <w:rFonts w:ascii="Cambria" w:hAnsi="Cambria"/>
          <w:color w:val="171717" w:themeColor="background2" w:themeShade="1A"/>
          <w:sz w:val="16"/>
          <w:szCs w:val="16"/>
        </w:rPr>
      </w:pPr>
    </w:p>
    <w:p w14:paraId="20FF7E6C" w14:textId="59DBF5D4" w:rsidR="008960D0" w:rsidRDefault="003C7C4A" w:rsidP="00C142F2">
      <w:pPr>
        <w:ind w:left="720"/>
        <w:contextualSpacing/>
        <w:rPr>
          <w:rFonts w:ascii="Cambria" w:hAnsi="Cambria"/>
          <w:color w:val="171717" w:themeColor="background2" w:themeShade="1A"/>
          <w:sz w:val="16"/>
          <w:szCs w:val="16"/>
        </w:rPr>
      </w:pPr>
      <w:r w:rsidRPr="00C142F2">
        <w:rPr>
          <w:rFonts w:ascii="Cambria" w:hAnsi="Cambria"/>
          <w:color w:val="171717" w:themeColor="background2" w:themeShade="1A"/>
        </w:rPr>
        <w:t xml:space="preserve">A higher percentage of participants identified this item as very important in Cohort II (92%) than Cohort III (36%). As with other components, communicating student progress through evidence-based grading, including learning academic content and applying transferable skills increased from Cohort III to Cohort IV, but in this case did not approach those levels observed in Cohort II. </w:t>
      </w:r>
      <w:r>
        <w:rPr>
          <w:rFonts w:ascii="Cambria" w:hAnsi="Cambria"/>
          <w:color w:val="171717" w:themeColor="background2" w:themeShade="1A"/>
        </w:rPr>
        <w:t xml:space="preserve">Cohort V matched the indications of “very important” from Cohort V, but “somewhat important” (11%) also emerged for the first time. </w:t>
      </w:r>
    </w:p>
    <w:p w14:paraId="0155F272" w14:textId="36578590" w:rsidR="000010EC" w:rsidRPr="00C142F2" w:rsidRDefault="00615E89" w:rsidP="00C142F2">
      <w:pPr>
        <w:contextualSpacing/>
        <w:rPr>
          <w:rFonts w:ascii="Cambria" w:hAnsi="Cambria"/>
          <w:color w:val="171717" w:themeColor="background2" w:themeShade="1A"/>
          <w:sz w:val="16"/>
          <w:szCs w:val="16"/>
        </w:rPr>
      </w:pPr>
      <w:r>
        <w:rPr>
          <w:noProof/>
        </w:rPr>
        <w:drawing>
          <wp:inline distT="0" distB="0" distL="0" distR="0" wp14:anchorId="4F9E3F19" wp14:editId="2390968A">
            <wp:extent cx="6539696" cy="2517494"/>
            <wp:effectExtent l="0" t="0" r="13970" b="10160"/>
            <wp:docPr id="910622877" name="Chart 1">
              <a:extLst xmlns:a="http://schemas.openxmlformats.org/drawingml/2006/main">
                <a:ext uri="{FF2B5EF4-FFF2-40B4-BE49-F238E27FC236}">
                  <a16:creationId xmlns:a16="http://schemas.microsoft.com/office/drawing/2014/main" id="{4268DF55-CACF-880A-9793-1331353E04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6688C33" w14:textId="00559D85" w:rsidR="00A470F4" w:rsidRDefault="00A8331A" w:rsidP="00A470F4">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lastRenderedPageBreak/>
        <w:t xml:space="preserve">Component 17: </w:t>
      </w:r>
      <w:r w:rsidR="00A470F4" w:rsidRPr="00AB7FA6">
        <w:rPr>
          <w:rFonts w:ascii="Cambria" w:hAnsi="Cambria"/>
          <w:i/>
          <w:iCs/>
          <w:color w:val="171717" w:themeColor="background2" w:themeShade="1A"/>
          <w:sz w:val="24"/>
          <w:szCs w:val="24"/>
        </w:rPr>
        <w:t xml:space="preserve">Facilitating student advancement once students have met or exceeded expectations for mastery </w:t>
      </w:r>
    </w:p>
    <w:p w14:paraId="07480AB2" w14:textId="77777777" w:rsidR="00A8331A" w:rsidRPr="00AB7FA6" w:rsidRDefault="00A8331A" w:rsidP="00BF5C57">
      <w:pPr>
        <w:pStyle w:val="ListParagraph"/>
        <w:spacing w:before="0" w:beforeAutospacing="0" w:after="0" w:afterAutospacing="0"/>
        <w:ind w:left="720"/>
        <w:contextualSpacing/>
        <w:rPr>
          <w:rFonts w:ascii="Cambria" w:hAnsi="Cambria"/>
          <w:i/>
          <w:iCs/>
          <w:color w:val="171717" w:themeColor="background2" w:themeShade="1A"/>
          <w:sz w:val="24"/>
          <w:szCs w:val="24"/>
        </w:rPr>
      </w:pPr>
    </w:p>
    <w:p w14:paraId="0980E91B" w14:textId="66729DC1" w:rsidR="000010EC" w:rsidRPr="00C142F2" w:rsidRDefault="000010EC" w:rsidP="00C142F2">
      <w:pPr>
        <w:ind w:left="720"/>
        <w:contextualSpacing/>
        <w:rPr>
          <w:rFonts w:ascii="Cambria" w:hAnsi="Cambria"/>
          <w:color w:val="171717" w:themeColor="background2" w:themeShade="1A"/>
        </w:rPr>
      </w:pPr>
      <w:r w:rsidRPr="00C142F2">
        <w:rPr>
          <w:rFonts w:ascii="Cambria" w:hAnsi="Cambria"/>
          <w:color w:val="171717" w:themeColor="background2" w:themeShade="1A"/>
        </w:rPr>
        <w:t xml:space="preserve">A higher percentage of participants identified this item as very important in Cohort II (69%) than Cohort </w:t>
      </w:r>
      <w:r w:rsidR="00D93E9A" w:rsidRPr="00C142F2">
        <w:rPr>
          <w:rFonts w:ascii="Cambria" w:hAnsi="Cambria"/>
          <w:color w:val="171717" w:themeColor="background2" w:themeShade="1A"/>
        </w:rPr>
        <w:t>III</w:t>
      </w:r>
      <w:r w:rsidRPr="00C142F2">
        <w:rPr>
          <w:rFonts w:ascii="Cambria" w:hAnsi="Cambria"/>
          <w:color w:val="171717" w:themeColor="background2" w:themeShade="1A"/>
        </w:rPr>
        <w:t xml:space="preserve"> (</w:t>
      </w:r>
      <w:r w:rsidR="00D93E9A" w:rsidRPr="00C142F2">
        <w:rPr>
          <w:rFonts w:ascii="Cambria" w:hAnsi="Cambria"/>
          <w:color w:val="171717" w:themeColor="background2" w:themeShade="1A"/>
        </w:rPr>
        <w:t>36</w:t>
      </w:r>
      <w:r w:rsidRPr="00C142F2">
        <w:rPr>
          <w:rFonts w:ascii="Cambria" w:hAnsi="Cambria"/>
          <w:color w:val="171717" w:themeColor="background2" w:themeShade="1A"/>
        </w:rPr>
        <w:t>%)</w:t>
      </w:r>
      <w:r w:rsidR="00A8331A" w:rsidRPr="00C142F2">
        <w:rPr>
          <w:rFonts w:ascii="Cambria" w:hAnsi="Cambria"/>
          <w:color w:val="171717" w:themeColor="background2" w:themeShade="1A"/>
        </w:rPr>
        <w:t>. As with component 15, while Cohort IV members nearly matched the perceived importance of Cohort II, “somewhat important” emerged for the first time</w:t>
      </w:r>
      <w:r w:rsidR="003C7C4A">
        <w:rPr>
          <w:rFonts w:ascii="Cambria" w:hAnsi="Cambria"/>
          <w:color w:val="171717" w:themeColor="background2" w:themeShade="1A"/>
        </w:rPr>
        <w:t xml:space="preserve"> but disappeared again in Cohort V. Cohort V responses very nearly matched responses from Cohort II in terms of importance</w:t>
      </w:r>
      <w:r w:rsidR="00B97878">
        <w:rPr>
          <w:rFonts w:ascii="Cambria" w:hAnsi="Cambria"/>
          <w:color w:val="171717" w:themeColor="background2" w:themeShade="1A"/>
        </w:rPr>
        <w:t>.</w:t>
      </w:r>
      <w:r w:rsidR="003C7C4A">
        <w:rPr>
          <w:rFonts w:ascii="Cambria" w:hAnsi="Cambria"/>
          <w:color w:val="171717" w:themeColor="background2" w:themeShade="1A"/>
        </w:rPr>
        <w:t xml:space="preserve"> </w:t>
      </w:r>
    </w:p>
    <w:p w14:paraId="23A7A3F1" w14:textId="7CC6A885" w:rsidR="000010EC" w:rsidRDefault="00615E89" w:rsidP="00370A5F">
      <w:pPr>
        <w:contextualSpacing/>
        <w:rPr>
          <w:rFonts w:ascii="Cambria" w:hAnsi="Cambria"/>
          <w:color w:val="171717" w:themeColor="background2" w:themeShade="1A"/>
        </w:rPr>
      </w:pPr>
      <w:r>
        <w:rPr>
          <w:noProof/>
        </w:rPr>
        <w:drawing>
          <wp:inline distT="0" distB="0" distL="0" distR="0" wp14:anchorId="6C3BE79B" wp14:editId="00408257">
            <wp:extent cx="6557058" cy="2575367"/>
            <wp:effectExtent l="0" t="0" r="8890" b="15875"/>
            <wp:docPr id="1715484076" name="Chart 1">
              <a:extLst xmlns:a="http://schemas.openxmlformats.org/drawingml/2006/main">
                <a:ext uri="{FF2B5EF4-FFF2-40B4-BE49-F238E27FC236}">
                  <a16:creationId xmlns:a16="http://schemas.microsoft.com/office/drawing/2014/main" id="{13A19E21-3EB0-CCD6-26E5-3D36046C61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7D1F617" w14:textId="77777777" w:rsidR="00370A5F" w:rsidRPr="00C142F2" w:rsidRDefault="00370A5F" w:rsidP="00C142F2">
      <w:pPr>
        <w:contextualSpacing/>
        <w:rPr>
          <w:rFonts w:ascii="Cambria" w:hAnsi="Cambria"/>
          <w:i/>
          <w:iCs/>
          <w:color w:val="171717" w:themeColor="background2" w:themeShade="1A"/>
        </w:rPr>
      </w:pPr>
    </w:p>
    <w:p w14:paraId="613E5EC7" w14:textId="7AD0C8C0" w:rsidR="00B97878" w:rsidRDefault="00A8331A" w:rsidP="00B97878">
      <w:pPr>
        <w:pStyle w:val="ListParagraph"/>
        <w:numPr>
          <w:ilvl w:val="0"/>
          <w:numId w:val="1"/>
        </w:numPr>
        <w:spacing w:before="0" w:beforeAutospacing="0" w:after="0" w:afterAutospacing="0"/>
        <w:contextualSpacing/>
        <w:rPr>
          <w:rFonts w:ascii="Cambria" w:hAnsi="Cambria"/>
          <w:i/>
          <w:iCs/>
          <w:color w:val="171717" w:themeColor="background2" w:themeShade="1A"/>
          <w:sz w:val="24"/>
          <w:szCs w:val="24"/>
        </w:rPr>
      </w:pPr>
      <w:r>
        <w:rPr>
          <w:rFonts w:ascii="Cambria" w:hAnsi="Cambria"/>
          <w:i/>
          <w:iCs/>
          <w:color w:val="171717" w:themeColor="background2" w:themeShade="1A"/>
          <w:sz w:val="24"/>
          <w:szCs w:val="24"/>
        </w:rPr>
        <w:t xml:space="preserve">Component 18: </w:t>
      </w:r>
      <w:r w:rsidR="00A470F4" w:rsidRPr="00AB7FA6">
        <w:rPr>
          <w:rFonts w:ascii="Cambria" w:hAnsi="Cambria"/>
          <w:i/>
          <w:iCs/>
          <w:color w:val="171717" w:themeColor="background2" w:themeShade="1A"/>
          <w:sz w:val="24"/>
          <w:szCs w:val="24"/>
        </w:rPr>
        <w:t xml:space="preserve">Providing instruction until students fully learn the concept or skill </w:t>
      </w:r>
    </w:p>
    <w:p w14:paraId="73AA3868" w14:textId="77777777" w:rsidR="00B97878" w:rsidRPr="00B97878" w:rsidRDefault="00B97878" w:rsidP="00B97878">
      <w:pPr>
        <w:contextualSpacing/>
        <w:rPr>
          <w:rFonts w:ascii="Cambria" w:hAnsi="Cambria"/>
          <w:i/>
          <w:iCs/>
          <w:color w:val="171717" w:themeColor="background2" w:themeShade="1A"/>
        </w:rPr>
      </w:pPr>
    </w:p>
    <w:p w14:paraId="2949DEDA" w14:textId="664C69C9" w:rsidR="000010EC" w:rsidRPr="00B97878" w:rsidRDefault="00BB77B6" w:rsidP="00B97878">
      <w:pPr>
        <w:ind w:left="720"/>
        <w:contextualSpacing/>
        <w:rPr>
          <w:rFonts w:ascii="Cambria" w:hAnsi="Cambria"/>
          <w:color w:val="171717" w:themeColor="background2" w:themeShade="1A"/>
        </w:rPr>
      </w:pPr>
      <w:r w:rsidRPr="00B97878">
        <w:rPr>
          <w:rFonts w:ascii="Cambria" w:hAnsi="Cambria"/>
          <w:color w:val="171717" w:themeColor="background2" w:themeShade="1A"/>
        </w:rPr>
        <w:t xml:space="preserve">The perceived importance of </w:t>
      </w:r>
      <w:r w:rsidR="003C7C4A" w:rsidRPr="00B97878">
        <w:rPr>
          <w:rFonts w:ascii="Cambria" w:hAnsi="Cambria"/>
          <w:color w:val="171717" w:themeColor="background2" w:themeShade="1A"/>
        </w:rPr>
        <w:t>providing instruction until students fully learn the concept or skill</w:t>
      </w:r>
      <w:r w:rsidRPr="00B97878">
        <w:rPr>
          <w:rFonts w:ascii="Cambria" w:hAnsi="Cambria"/>
          <w:color w:val="171717" w:themeColor="background2" w:themeShade="1A"/>
        </w:rPr>
        <w:t xml:space="preserve"> in future learning has held constant over time with a slight increase in “very important” responses from Cohort III to IV</w:t>
      </w:r>
      <w:r w:rsidR="003C7C4A" w:rsidRPr="00B97878">
        <w:rPr>
          <w:rFonts w:ascii="Cambria" w:hAnsi="Cambria"/>
          <w:color w:val="171717" w:themeColor="background2" w:themeShade="1A"/>
        </w:rPr>
        <w:t xml:space="preserve"> and then another slight increase from Cohort IV to V. Additionally, indications of “somewhat important” disappeared in Cohort V. </w:t>
      </w:r>
    </w:p>
    <w:p w14:paraId="1C80DDEF" w14:textId="0D5BAFDF" w:rsidR="007626AD" w:rsidRPr="00C142F2" w:rsidRDefault="007626AD" w:rsidP="00C142F2">
      <w:pPr>
        <w:contextualSpacing/>
        <w:rPr>
          <w:rFonts w:ascii="Cambria" w:hAnsi="Cambria"/>
          <w:color w:val="171717" w:themeColor="background2" w:themeShade="1A"/>
        </w:rPr>
      </w:pPr>
      <w:r>
        <w:rPr>
          <w:noProof/>
        </w:rPr>
        <w:drawing>
          <wp:inline distT="0" distB="0" distL="0" distR="0" wp14:anchorId="1176A7D3" wp14:editId="566E1A83">
            <wp:extent cx="6279266" cy="2654935"/>
            <wp:effectExtent l="0" t="0" r="7620" b="12065"/>
            <wp:docPr id="862000953" name="Chart 1">
              <a:extLst xmlns:a="http://schemas.openxmlformats.org/drawingml/2006/main">
                <a:ext uri="{FF2B5EF4-FFF2-40B4-BE49-F238E27FC236}">
                  <a16:creationId xmlns:a16="http://schemas.microsoft.com/office/drawing/2014/main" id="{BA054482-42EB-3795-CD57-B5A1C500D9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44BABAD" w14:textId="77777777" w:rsidR="00B97878" w:rsidRDefault="00B97878">
      <w:pPr>
        <w:rPr>
          <w:rFonts w:ascii="Cambria" w:hAnsi="Cambria"/>
          <w:b/>
          <w:bCs/>
          <w:color w:val="171717" w:themeColor="background2" w:themeShade="1A"/>
        </w:rPr>
      </w:pPr>
    </w:p>
    <w:p w14:paraId="1310F6BB" w14:textId="32E63352" w:rsidR="00A55522" w:rsidRPr="00E55335" w:rsidRDefault="00954541">
      <w:pPr>
        <w:rPr>
          <w:rFonts w:ascii="Cambria" w:hAnsi="Cambria"/>
          <w:b/>
          <w:bCs/>
          <w:color w:val="171717" w:themeColor="background2" w:themeShade="1A"/>
        </w:rPr>
      </w:pPr>
      <w:r>
        <w:rPr>
          <w:rFonts w:ascii="Cambria" w:hAnsi="Cambria"/>
          <w:b/>
          <w:bCs/>
          <w:color w:val="171717" w:themeColor="background2" w:themeShade="1A"/>
        </w:rPr>
        <w:t>C</w:t>
      </w:r>
      <w:r w:rsidR="00A55522" w:rsidRPr="00E55335">
        <w:rPr>
          <w:rFonts w:ascii="Cambria" w:hAnsi="Cambria"/>
          <w:b/>
          <w:bCs/>
          <w:color w:val="171717" w:themeColor="background2" w:themeShade="1A"/>
        </w:rPr>
        <w:t xml:space="preserve">onditions Surrounding </w:t>
      </w:r>
      <w:r w:rsidR="006D3B10">
        <w:rPr>
          <w:rFonts w:ascii="Cambria" w:hAnsi="Cambria"/>
          <w:b/>
          <w:bCs/>
          <w:color w:val="171717" w:themeColor="background2" w:themeShade="1A"/>
        </w:rPr>
        <w:t xml:space="preserve">Pilot </w:t>
      </w:r>
      <w:r w:rsidR="00A55522" w:rsidRPr="00E55335">
        <w:rPr>
          <w:rFonts w:ascii="Cambria" w:hAnsi="Cambria"/>
          <w:b/>
          <w:bCs/>
          <w:color w:val="171717" w:themeColor="background2" w:themeShade="1A"/>
        </w:rPr>
        <w:t>Administration of Performance Assessments</w:t>
      </w:r>
    </w:p>
    <w:p w14:paraId="31A95294" w14:textId="77777777" w:rsidR="00A55522" w:rsidRPr="00E55335" w:rsidRDefault="00A55522">
      <w:pPr>
        <w:rPr>
          <w:rFonts w:ascii="Cambria" w:hAnsi="Cambria"/>
          <w:color w:val="171717" w:themeColor="background2" w:themeShade="1A"/>
        </w:rPr>
      </w:pPr>
    </w:p>
    <w:p w14:paraId="02A5FA17" w14:textId="77777777" w:rsidR="007C427C" w:rsidRDefault="00F96366">
      <w:pPr>
        <w:rPr>
          <w:rFonts w:ascii="Cambria" w:hAnsi="Cambria"/>
          <w:color w:val="171717" w:themeColor="background2" w:themeShade="1A"/>
        </w:rPr>
      </w:pPr>
      <w:r w:rsidRPr="00E55335">
        <w:rPr>
          <w:rFonts w:ascii="Cambria" w:hAnsi="Cambria"/>
          <w:color w:val="171717" w:themeColor="background2" w:themeShade="1A"/>
        </w:rPr>
        <w:t>The next</w:t>
      </w:r>
      <w:r w:rsidR="006D3B10">
        <w:rPr>
          <w:rFonts w:ascii="Cambria" w:hAnsi="Cambria"/>
          <w:color w:val="171717" w:themeColor="background2" w:themeShade="1A"/>
        </w:rPr>
        <w:t xml:space="preserve"> survey</w:t>
      </w:r>
      <w:r w:rsidRPr="00E55335">
        <w:rPr>
          <w:rFonts w:ascii="Cambria" w:hAnsi="Cambria"/>
          <w:color w:val="171717" w:themeColor="background2" w:themeShade="1A"/>
        </w:rPr>
        <w:t xml:space="preserve"> item asked respondents about the conditions surrounding </w:t>
      </w:r>
      <w:r w:rsidR="006D3B10">
        <w:rPr>
          <w:rFonts w:ascii="Cambria" w:hAnsi="Cambria"/>
          <w:color w:val="171717" w:themeColor="background2" w:themeShade="1A"/>
        </w:rPr>
        <w:t xml:space="preserve">the pilot </w:t>
      </w:r>
      <w:r w:rsidRPr="00E55335">
        <w:rPr>
          <w:rFonts w:ascii="Cambria" w:hAnsi="Cambria"/>
          <w:color w:val="171717" w:themeColor="background2" w:themeShade="1A"/>
        </w:rPr>
        <w:t>administration</w:t>
      </w:r>
      <w:r w:rsidR="006D3B10">
        <w:rPr>
          <w:rFonts w:ascii="Cambria" w:hAnsi="Cambria"/>
          <w:color w:val="171717" w:themeColor="background2" w:themeShade="1A"/>
        </w:rPr>
        <w:t xml:space="preserve"> of their assessments</w:t>
      </w:r>
      <w:r w:rsidRPr="00E55335">
        <w:rPr>
          <w:rFonts w:ascii="Cambria" w:hAnsi="Cambria"/>
          <w:color w:val="171717" w:themeColor="background2" w:themeShade="1A"/>
        </w:rPr>
        <w:t xml:space="preserve">. </w:t>
      </w:r>
      <w:r w:rsidR="001B6960">
        <w:rPr>
          <w:rFonts w:ascii="Cambria" w:hAnsi="Cambria"/>
          <w:color w:val="171717" w:themeColor="background2" w:themeShade="1A"/>
        </w:rPr>
        <w:t>In Cohort II a small portion of participants had not piloted the</w:t>
      </w:r>
      <w:r w:rsidR="007C427C">
        <w:rPr>
          <w:rFonts w:ascii="Cambria" w:hAnsi="Cambria"/>
          <w:color w:val="171717" w:themeColor="background2" w:themeShade="1A"/>
        </w:rPr>
        <w:t>ir</w:t>
      </w:r>
      <w:r w:rsidR="001B6960">
        <w:rPr>
          <w:rFonts w:ascii="Cambria" w:hAnsi="Cambria"/>
          <w:color w:val="171717" w:themeColor="background2" w:themeShade="1A"/>
        </w:rPr>
        <w:t xml:space="preserve"> assessment. In contrast, all Cohort III</w:t>
      </w:r>
      <w:r w:rsidR="003C7C4A">
        <w:rPr>
          <w:rFonts w:ascii="Cambria" w:hAnsi="Cambria"/>
          <w:color w:val="171717" w:themeColor="background2" w:themeShade="1A"/>
        </w:rPr>
        <w:t>, I</w:t>
      </w:r>
      <w:r w:rsidR="001F2FB4">
        <w:rPr>
          <w:rFonts w:ascii="Cambria" w:hAnsi="Cambria"/>
          <w:color w:val="171717" w:themeColor="background2" w:themeShade="1A"/>
        </w:rPr>
        <w:t>V</w:t>
      </w:r>
      <w:r w:rsidR="003C7C4A">
        <w:rPr>
          <w:rFonts w:ascii="Cambria" w:hAnsi="Cambria"/>
          <w:color w:val="171717" w:themeColor="background2" w:themeShade="1A"/>
        </w:rPr>
        <w:t>, and V</w:t>
      </w:r>
      <w:r w:rsidR="001B6960">
        <w:rPr>
          <w:rFonts w:ascii="Cambria" w:hAnsi="Cambria"/>
          <w:color w:val="171717" w:themeColor="background2" w:themeShade="1A"/>
        </w:rPr>
        <w:t xml:space="preserve"> </w:t>
      </w:r>
      <w:r w:rsidR="001F2FB4">
        <w:rPr>
          <w:rFonts w:ascii="Cambria" w:hAnsi="Cambria"/>
          <w:color w:val="171717" w:themeColor="background2" w:themeShade="1A"/>
        </w:rPr>
        <w:t>members</w:t>
      </w:r>
      <w:r w:rsidR="001B6960">
        <w:rPr>
          <w:rFonts w:ascii="Cambria" w:hAnsi="Cambria"/>
          <w:color w:val="171717" w:themeColor="background2" w:themeShade="1A"/>
        </w:rPr>
        <w:t xml:space="preserve"> reported administering the assessment. Furthermore, a much higher percentage of Cohort II members reported they worked closely with a colleague to administer the assessment, but they did not administer the assessment in their own classroom. </w:t>
      </w:r>
    </w:p>
    <w:p w14:paraId="0872EF74" w14:textId="561AE9DA" w:rsidR="00F96366" w:rsidRPr="00E55335" w:rsidRDefault="001B6960" w:rsidP="00001D3E">
      <w:pPr>
        <w:ind w:firstLine="720"/>
        <w:rPr>
          <w:rFonts w:ascii="Cambria" w:hAnsi="Cambria"/>
          <w:color w:val="171717" w:themeColor="background2" w:themeShade="1A"/>
        </w:rPr>
      </w:pPr>
      <w:r>
        <w:rPr>
          <w:rFonts w:ascii="Cambria" w:hAnsi="Cambria"/>
          <w:color w:val="171717" w:themeColor="background2" w:themeShade="1A"/>
        </w:rPr>
        <w:t>Cohort III</w:t>
      </w:r>
      <w:r w:rsidR="00437226">
        <w:rPr>
          <w:rFonts w:ascii="Cambria" w:hAnsi="Cambria"/>
          <w:color w:val="171717" w:themeColor="background2" w:themeShade="1A"/>
        </w:rPr>
        <w:t xml:space="preserve"> and V</w:t>
      </w:r>
      <w:r>
        <w:rPr>
          <w:rFonts w:ascii="Cambria" w:hAnsi="Cambria"/>
          <w:color w:val="171717" w:themeColor="background2" w:themeShade="1A"/>
        </w:rPr>
        <w:t xml:space="preserve"> participants were much more likely to have administered the assessment in their own classroom</w:t>
      </w:r>
      <w:r w:rsidR="001F2FB4">
        <w:rPr>
          <w:rFonts w:ascii="Cambria" w:hAnsi="Cambria"/>
          <w:color w:val="171717" w:themeColor="background2" w:themeShade="1A"/>
        </w:rPr>
        <w:t xml:space="preserve"> than either Cohort II or I</w:t>
      </w:r>
      <w:r w:rsidR="004D7AEA">
        <w:rPr>
          <w:rFonts w:ascii="Cambria" w:hAnsi="Cambria"/>
          <w:color w:val="171717" w:themeColor="background2" w:themeShade="1A"/>
        </w:rPr>
        <w:t>V</w:t>
      </w:r>
      <w:r>
        <w:rPr>
          <w:rFonts w:ascii="Cambria" w:hAnsi="Cambria"/>
          <w:color w:val="171717" w:themeColor="background2" w:themeShade="1A"/>
        </w:rPr>
        <w:t>.</w:t>
      </w:r>
      <w:r w:rsidR="004D7AEA">
        <w:rPr>
          <w:rFonts w:ascii="Cambria" w:hAnsi="Cambria"/>
          <w:color w:val="171717" w:themeColor="background2" w:themeShade="1A"/>
        </w:rPr>
        <w:t xml:space="preserve"> No Cohort II member had an assessment they designed be administered by others without their involvement. This number </w:t>
      </w:r>
      <w:r w:rsidR="007C427C">
        <w:rPr>
          <w:rFonts w:ascii="Cambria" w:hAnsi="Cambria"/>
          <w:color w:val="171717" w:themeColor="background2" w:themeShade="1A"/>
        </w:rPr>
        <w:t xml:space="preserve">increased </w:t>
      </w:r>
      <w:r w:rsidR="004D7AEA">
        <w:rPr>
          <w:rFonts w:ascii="Cambria" w:hAnsi="Cambria"/>
          <w:color w:val="171717" w:themeColor="background2" w:themeShade="1A"/>
        </w:rPr>
        <w:t>to nearly 40% for Cohort IV, marking the starkest change from Cohort II to IV.</w:t>
      </w:r>
      <w:r w:rsidR="00437226">
        <w:rPr>
          <w:rFonts w:ascii="Cambria" w:hAnsi="Cambria"/>
          <w:color w:val="171717" w:themeColor="background2" w:themeShade="1A"/>
        </w:rPr>
        <w:t xml:space="preserve"> However, this number dropped again in Cohort V to less than 20 percent.</w:t>
      </w:r>
      <w:r>
        <w:rPr>
          <w:rFonts w:ascii="Cambria" w:hAnsi="Cambria"/>
          <w:color w:val="171717" w:themeColor="background2" w:themeShade="1A"/>
        </w:rPr>
        <w:t xml:space="preserve"> For an overview of this information, see </w:t>
      </w:r>
      <w:r w:rsidR="00661D15">
        <w:rPr>
          <w:rFonts w:ascii="Cambria" w:hAnsi="Cambria"/>
          <w:color w:val="171717" w:themeColor="background2" w:themeShade="1A"/>
        </w:rPr>
        <w:t>Figure</w:t>
      </w:r>
      <w:r>
        <w:rPr>
          <w:rFonts w:ascii="Cambria" w:hAnsi="Cambria"/>
          <w:color w:val="171717" w:themeColor="background2" w:themeShade="1A"/>
        </w:rPr>
        <w:t xml:space="preserve"> </w:t>
      </w:r>
      <w:r w:rsidR="001F2FB4">
        <w:rPr>
          <w:rFonts w:ascii="Cambria" w:hAnsi="Cambria"/>
          <w:color w:val="171717" w:themeColor="background2" w:themeShade="1A"/>
        </w:rPr>
        <w:t>8</w:t>
      </w:r>
      <w:r>
        <w:rPr>
          <w:rFonts w:ascii="Cambria" w:hAnsi="Cambria"/>
          <w:color w:val="171717" w:themeColor="background2" w:themeShade="1A"/>
        </w:rPr>
        <w:t xml:space="preserve"> (Cohort II</w:t>
      </w:r>
      <w:r w:rsidR="001F2FB4">
        <w:rPr>
          <w:rFonts w:ascii="Cambria" w:hAnsi="Cambria"/>
          <w:color w:val="171717" w:themeColor="background2" w:themeShade="1A"/>
        </w:rPr>
        <w:t>),</w:t>
      </w:r>
      <w:r>
        <w:rPr>
          <w:rFonts w:ascii="Cambria" w:hAnsi="Cambria"/>
          <w:color w:val="171717" w:themeColor="background2" w:themeShade="1A"/>
        </w:rPr>
        <w:t xml:space="preserve"> </w:t>
      </w:r>
      <w:r w:rsidR="00661D15">
        <w:rPr>
          <w:rFonts w:ascii="Cambria" w:hAnsi="Cambria"/>
          <w:color w:val="171717" w:themeColor="background2" w:themeShade="1A"/>
        </w:rPr>
        <w:t>Figure</w:t>
      </w:r>
      <w:r>
        <w:rPr>
          <w:rFonts w:ascii="Cambria" w:hAnsi="Cambria"/>
          <w:color w:val="171717" w:themeColor="background2" w:themeShade="1A"/>
        </w:rPr>
        <w:t xml:space="preserve"> </w:t>
      </w:r>
      <w:r w:rsidR="001F2FB4">
        <w:rPr>
          <w:rFonts w:ascii="Cambria" w:hAnsi="Cambria"/>
          <w:color w:val="171717" w:themeColor="background2" w:themeShade="1A"/>
        </w:rPr>
        <w:t>9</w:t>
      </w:r>
      <w:r>
        <w:rPr>
          <w:rFonts w:ascii="Cambria" w:hAnsi="Cambria"/>
          <w:color w:val="171717" w:themeColor="background2" w:themeShade="1A"/>
        </w:rPr>
        <w:t xml:space="preserve"> (Cohort III)</w:t>
      </w:r>
      <w:r w:rsidR="001F2FB4">
        <w:rPr>
          <w:rFonts w:ascii="Cambria" w:hAnsi="Cambria"/>
          <w:color w:val="171717" w:themeColor="background2" w:themeShade="1A"/>
        </w:rPr>
        <w:t>, Figure 10 (Cohort IV)</w:t>
      </w:r>
      <w:r w:rsidR="003C7C4A">
        <w:rPr>
          <w:rFonts w:ascii="Cambria" w:hAnsi="Cambria"/>
          <w:color w:val="171717" w:themeColor="background2" w:themeShade="1A"/>
        </w:rPr>
        <w:t>, and Figure 11 (Cohort V).</w:t>
      </w:r>
    </w:p>
    <w:p w14:paraId="1117B5F2" w14:textId="77777777" w:rsidR="00A94E97" w:rsidRDefault="00A94E97">
      <w:pPr>
        <w:rPr>
          <w:rFonts w:ascii="Cambria" w:hAnsi="Cambria"/>
          <w:color w:val="171717" w:themeColor="background2" w:themeShade="1A"/>
        </w:rPr>
      </w:pPr>
    </w:p>
    <w:p w14:paraId="563435F1" w14:textId="77777777" w:rsidR="006749C7" w:rsidRDefault="006749C7">
      <w:pPr>
        <w:rPr>
          <w:rFonts w:ascii="Cambria" w:hAnsi="Cambria"/>
          <w:b/>
          <w:bCs/>
          <w:color w:val="171717" w:themeColor="background2" w:themeShade="1A"/>
        </w:rPr>
      </w:pPr>
    </w:p>
    <w:p w14:paraId="05E1E3AD" w14:textId="77777777" w:rsidR="006749C7" w:rsidRDefault="006749C7">
      <w:pPr>
        <w:rPr>
          <w:rFonts w:ascii="Cambria" w:hAnsi="Cambria"/>
          <w:b/>
          <w:bCs/>
          <w:color w:val="171717" w:themeColor="background2" w:themeShade="1A"/>
        </w:rPr>
      </w:pPr>
    </w:p>
    <w:p w14:paraId="74241933" w14:textId="77777777" w:rsidR="006749C7" w:rsidRDefault="006749C7">
      <w:pPr>
        <w:rPr>
          <w:rFonts w:ascii="Cambria" w:hAnsi="Cambria"/>
          <w:b/>
          <w:bCs/>
          <w:color w:val="171717" w:themeColor="background2" w:themeShade="1A"/>
        </w:rPr>
      </w:pPr>
    </w:p>
    <w:p w14:paraId="7FB04DF8" w14:textId="77777777" w:rsidR="006749C7" w:rsidRDefault="006749C7">
      <w:pPr>
        <w:rPr>
          <w:rFonts w:ascii="Cambria" w:hAnsi="Cambria"/>
          <w:b/>
          <w:bCs/>
          <w:color w:val="171717" w:themeColor="background2" w:themeShade="1A"/>
        </w:rPr>
      </w:pPr>
    </w:p>
    <w:p w14:paraId="4D3A3C1D" w14:textId="77777777" w:rsidR="006749C7" w:rsidRDefault="006749C7">
      <w:pPr>
        <w:rPr>
          <w:rFonts w:ascii="Cambria" w:hAnsi="Cambria"/>
          <w:b/>
          <w:bCs/>
          <w:color w:val="171717" w:themeColor="background2" w:themeShade="1A"/>
        </w:rPr>
      </w:pPr>
    </w:p>
    <w:p w14:paraId="6604756E" w14:textId="77777777" w:rsidR="006749C7" w:rsidRDefault="006749C7">
      <w:pPr>
        <w:rPr>
          <w:rFonts w:ascii="Cambria" w:hAnsi="Cambria"/>
          <w:b/>
          <w:bCs/>
          <w:color w:val="171717" w:themeColor="background2" w:themeShade="1A"/>
        </w:rPr>
      </w:pPr>
    </w:p>
    <w:p w14:paraId="7F3B1DAA" w14:textId="77777777" w:rsidR="006749C7" w:rsidRDefault="006749C7">
      <w:pPr>
        <w:rPr>
          <w:rFonts w:ascii="Cambria" w:hAnsi="Cambria"/>
          <w:b/>
          <w:bCs/>
          <w:color w:val="171717" w:themeColor="background2" w:themeShade="1A"/>
        </w:rPr>
      </w:pPr>
    </w:p>
    <w:p w14:paraId="5C9AF607" w14:textId="77777777" w:rsidR="006749C7" w:rsidRDefault="006749C7">
      <w:pPr>
        <w:rPr>
          <w:rFonts w:ascii="Cambria" w:hAnsi="Cambria"/>
          <w:b/>
          <w:bCs/>
          <w:color w:val="171717" w:themeColor="background2" w:themeShade="1A"/>
        </w:rPr>
      </w:pPr>
    </w:p>
    <w:p w14:paraId="27B78837" w14:textId="77777777" w:rsidR="006749C7" w:rsidRDefault="006749C7">
      <w:pPr>
        <w:rPr>
          <w:rFonts w:ascii="Cambria" w:hAnsi="Cambria"/>
          <w:b/>
          <w:bCs/>
          <w:color w:val="171717" w:themeColor="background2" w:themeShade="1A"/>
        </w:rPr>
      </w:pPr>
    </w:p>
    <w:p w14:paraId="34CDC5FF" w14:textId="77777777" w:rsidR="006749C7" w:rsidRDefault="006749C7">
      <w:pPr>
        <w:rPr>
          <w:rFonts w:ascii="Cambria" w:hAnsi="Cambria"/>
          <w:b/>
          <w:bCs/>
          <w:color w:val="171717" w:themeColor="background2" w:themeShade="1A"/>
        </w:rPr>
      </w:pPr>
    </w:p>
    <w:p w14:paraId="6860A148" w14:textId="77777777" w:rsidR="006749C7" w:rsidRDefault="006749C7">
      <w:pPr>
        <w:rPr>
          <w:rFonts w:ascii="Cambria" w:hAnsi="Cambria"/>
          <w:b/>
          <w:bCs/>
          <w:color w:val="171717" w:themeColor="background2" w:themeShade="1A"/>
        </w:rPr>
      </w:pPr>
    </w:p>
    <w:p w14:paraId="5F6040AD" w14:textId="77777777" w:rsidR="006749C7" w:rsidRDefault="006749C7">
      <w:pPr>
        <w:rPr>
          <w:rFonts w:ascii="Cambria" w:hAnsi="Cambria"/>
          <w:b/>
          <w:bCs/>
          <w:color w:val="171717" w:themeColor="background2" w:themeShade="1A"/>
        </w:rPr>
      </w:pPr>
    </w:p>
    <w:p w14:paraId="6489D6F4" w14:textId="5E18256A" w:rsidR="004D6CF6" w:rsidRPr="00AB7FA6" w:rsidRDefault="00661D15">
      <w:pPr>
        <w:rPr>
          <w:rFonts w:ascii="Cambria" w:hAnsi="Cambria"/>
          <w:b/>
          <w:bCs/>
          <w:color w:val="171717" w:themeColor="background2" w:themeShade="1A"/>
        </w:rPr>
      </w:pPr>
      <w:r>
        <w:rPr>
          <w:rFonts w:ascii="Cambria" w:hAnsi="Cambria"/>
          <w:b/>
          <w:bCs/>
          <w:color w:val="171717" w:themeColor="background2" w:themeShade="1A"/>
        </w:rPr>
        <w:t>Figure</w:t>
      </w:r>
      <w:r w:rsidR="001B6960" w:rsidRPr="00AB7FA6">
        <w:rPr>
          <w:rFonts w:ascii="Cambria" w:hAnsi="Cambria"/>
          <w:b/>
          <w:bCs/>
          <w:color w:val="171717" w:themeColor="background2" w:themeShade="1A"/>
        </w:rPr>
        <w:t xml:space="preserve"> </w:t>
      </w:r>
      <w:r w:rsidR="00954541">
        <w:rPr>
          <w:rFonts w:ascii="Cambria" w:hAnsi="Cambria"/>
          <w:b/>
          <w:bCs/>
          <w:color w:val="171717" w:themeColor="background2" w:themeShade="1A"/>
        </w:rPr>
        <w:t>8</w:t>
      </w:r>
      <w:r w:rsidR="001B6960" w:rsidRPr="00AB7FA6">
        <w:rPr>
          <w:rFonts w:ascii="Cambria" w:hAnsi="Cambria"/>
          <w:b/>
          <w:bCs/>
          <w:color w:val="171717" w:themeColor="background2" w:themeShade="1A"/>
        </w:rPr>
        <w:t xml:space="preserve">. </w:t>
      </w:r>
      <w:r w:rsidR="004D6CF6" w:rsidRPr="00AB7FA6">
        <w:rPr>
          <w:rFonts w:ascii="Cambria" w:hAnsi="Cambria"/>
          <w:b/>
          <w:bCs/>
          <w:color w:val="171717" w:themeColor="background2" w:themeShade="1A"/>
        </w:rPr>
        <w:t xml:space="preserve">Cohort </w:t>
      </w:r>
      <w:r w:rsidR="001B6960">
        <w:rPr>
          <w:rFonts w:ascii="Cambria" w:hAnsi="Cambria"/>
          <w:b/>
          <w:bCs/>
          <w:color w:val="171717" w:themeColor="background2" w:themeShade="1A"/>
        </w:rPr>
        <w:t>II</w:t>
      </w:r>
      <w:r w:rsidR="001B6960" w:rsidRPr="00AB7FA6">
        <w:rPr>
          <w:rFonts w:ascii="Cambria" w:hAnsi="Cambria"/>
          <w:b/>
          <w:bCs/>
          <w:color w:val="171717" w:themeColor="background2" w:themeShade="1A"/>
        </w:rPr>
        <w:t xml:space="preserve"> Conditions </w:t>
      </w:r>
      <w:r w:rsidR="001B6960">
        <w:rPr>
          <w:rFonts w:ascii="Cambria" w:hAnsi="Cambria"/>
          <w:b/>
          <w:bCs/>
          <w:color w:val="171717" w:themeColor="background2" w:themeShade="1A"/>
        </w:rPr>
        <w:t>of</w:t>
      </w:r>
      <w:r w:rsidR="001B6960" w:rsidRPr="00AB7FA6">
        <w:rPr>
          <w:rFonts w:ascii="Cambria" w:hAnsi="Cambria"/>
          <w:b/>
          <w:bCs/>
          <w:color w:val="171717" w:themeColor="background2" w:themeShade="1A"/>
        </w:rPr>
        <w:t xml:space="preserve"> </w:t>
      </w:r>
      <w:r w:rsidR="001B6960">
        <w:rPr>
          <w:rFonts w:ascii="Cambria" w:hAnsi="Cambria"/>
          <w:b/>
          <w:bCs/>
          <w:color w:val="171717" w:themeColor="background2" w:themeShade="1A"/>
        </w:rPr>
        <w:t xml:space="preserve">Performance Assessment </w:t>
      </w:r>
      <w:r w:rsidR="001B6960" w:rsidRPr="00AB7FA6">
        <w:rPr>
          <w:rFonts w:ascii="Cambria" w:hAnsi="Cambria"/>
          <w:b/>
          <w:bCs/>
          <w:color w:val="171717" w:themeColor="background2" w:themeShade="1A"/>
        </w:rPr>
        <w:t xml:space="preserve">Administration </w:t>
      </w:r>
    </w:p>
    <w:p w14:paraId="15599EC0" w14:textId="07B514F2" w:rsidR="004D6CF6" w:rsidRDefault="004D6CF6">
      <w:pPr>
        <w:rPr>
          <w:rFonts w:ascii="Cambria" w:hAnsi="Cambria"/>
          <w:color w:val="171717" w:themeColor="background2" w:themeShade="1A"/>
        </w:rPr>
      </w:pPr>
      <w:r>
        <w:rPr>
          <w:noProof/>
        </w:rPr>
        <w:lastRenderedPageBreak/>
        <w:drawing>
          <wp:inline distT="0" distB="0" distL="0" distR="0" wp14:anchorId="48F14594" wp14:editId="599661B2">
            <wp:extent cx="5899150" cy="3562350"/>
            <wp:effectExtent l="0" t="0" r="6350" b="6350"/>
            <wp:docPr id="1699511802"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02DE518" w14:textId="77777777" w:rsidR="004D6CF6" w:rsidRPr="00E55335" w:rsidRDefault="004D6CF6">
      <w:pPr>
        <w:rPr>
          <w:rFonts w:ascii="Cambria" w:hAnsi="Cambria"/>
          <w:color w:val="171717" w:themeColor="background2" w:themeShade="1A"/>
        </w:rPr>
      </w:pPr>
    </w:p>
    <w:p w14:paraId="17EBB582" w14:textId="1A6F3E3C" w:rsidR="00F96366" w:rsidRPr="002C4629" w:rsidRDefault="00661D15">
      <w:pPr>
        <w:rPr>
          <w:rFonts w:ascii="Cambria" w:hAnsi="Cambria"/>
          <w:b/>
          <w:bCs/>
          <w:color w:val="171717" w:themeColor="background2" w:themeShade="1A"/>
        </w:rPr>
      </w:pPr>
      <w:r>
        <w:rPr>
          <w:rFonts w:ascii="Cambria" w:hAnsi="Cambria"/>
          <w:b/>
          <w:bCs/>
          <w:color w:val="171717" w:themeColor="background2" w:themeShade="1A"/>
        </w:rPr>
        <w:t>Figure</w:t>
      </w:r>
      <w:r w:rsidR="00A55522" w:rsidRPr="002C4629">
        <w:rPr>
          <w:rFonts w:ascii="Cambria" w:hAnsi="Cambria"/>
          <w:b/>
          <w:bCs/>
          <w:color w:val="171717" w:themeColor="background2" w:themeShade="1A"/>
        </w:rPr>
        <w:t xml:space="preserve"> </w:t>
      </w:r>
      <w:r w:rsidR="00954541">
        <w:rPr>
          <w:rFonts w:ascii="Cambria" w:hAnsi="Cambria"/>
          <w:b/>
          <w:bCs/>
          <w:color w:val="171717" w:themeColor="background2" w:themeShade="1A"/>
        </w:rPr>
        <w:t>9</w:t>
      </w:r>
      <w:r w:rsidR="00A55522" w:rsidRPr="002C4629">
        <w:rPr>
          <w:rFonts w:ascii="Cambria" w:hAnsi="Cambria"/>
          <w:b/>
          <w:bCs/>
          <w:color w:val="171717" w:themeColor="background2" w:themeShade="1A"/>
        </w:rPr>
        <w:t xml:space="preserve">. </w:t>
      </w:r>
      <w:r w:rsidR="001B6960">
        <w:rPr>
          <w:rFonts w:ascii="Cambria" w:hAnsi="Cambria"/>
          <w:b/>
          <w:bCs/>
          <w:color w:val="171717" w:themeColor="background2" w:themeShade="1A"/>
        </w:rPr>
        <w:t xml:space="preserve">Cohort III </w:t>
      </w:r>
      <w:r w:rsidR="00A55522" w:rsidRPr="002C4629">
        <w:rPr>
          <w:rFonts w:ascii="Cambria" w:hAnsi="Cambria"/>
          <w:b/>
          <w:bCs/>
          <w:color w:val="171717" w:themeColor="background2" w:themeShade="1A"/>
        </w:rPr>
        <w:t xml:space="preserve">Conditions </w:t>
      </w:r>
      <w:r w:rsidR="001B6960">
        <w:rPr>
          <w:rFonts w:ascii="Cambria" w:hAnsi="Cambria"/>
          <w:b/>
          <w:bCs/>
          <w:color w:val="171717" w:themeColor="background2" w:themeShade="1A"/>
        </w:rPr>
        <w:t>of</w:t>
      </w:r>
      <w:r w:rsidR="001B6960" w:rsidRPr="002C4629">
        <w:rPr>
          <w:rFonts w:ascii="Cambria" w:hAnsi="Cambria"/>
          <w:b/>
          <w:bCs/>
          <w:color w:val="171717" w:themeColor="background2" w:themeShade="1A"/>
        </w:rPr>
        <w:t xml:space="preserve"> Performance Assessments </w:t>
      </w:r>
      <w:r w:rsidR="00A55522" w:rsidRPr="002C4629">
        <w:rPr>
          <w:rFonts w:ascii="Cambria" w:hAnsi="Cambria"/>
          <w:b/>
          <w:bCs/>
          <w:color w:val="171717" w:themeColor="background2" w:themeShade="1A"/>
        </w:rPr>
        <w:t xml:space="preserve">Administration </w:t>
      </w:r>
    </w:p>
    <w:p w14:paraId="336C7A1F" w14:textId="37E22865" w:rsidR="00A034F6" w:rsidRPr="00E55335" w:rsidRDefault="00F7423F">
      <w:pPr>
        <w:rPr>
          <w:rFonts w:ascii="Cambria" w:hAnsi="Cambria"/>
          <w:color w:val="171717" w:themeColor="background2" w:themeShade="1A"/>
        </w:rPr>
      </w:pPr>
      <w:r>
        <w:rPr>
          <w:noProof/>
        </w:rPr>
        <w:drawing>
          <wp:inline distT="0" distB="0" distL="0" distR="0" wp14:anchorId="7A347D09" wp14:editId="3D78F68D">
            <wp:extent cx="5905500" cy="2901950"/>
            <wp:effectExtent l="0" t="0" r="12700" b="6350"/>
            <wp:docPr id="2144748545"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C864968" w14:textId="77777777" w:rsidR="00A55522" w:rsidRPr="00E55335" w:rsidRDefault="00A55522">
      <w:pPr>
        <w:rPr>
          <w:rFonts w:ascii="Cambria" w:hAnsi="Cambria"/>
          <w:color w:val="171717" w:themeColor="background2" w:themeShade="1A"/>
        </w:rPr>
      </w:pPr>
    </w:p>
    <w:p w14:paraId="02544B04" w14:textId="73E8FBC1" w:rsidR="00954541" w:rsidRDefault="001F2FB4">
      <w:pPr>
        <w:rPr>
          <w:rFonts w:ascii="Cambria" w:hAnsi="Cambria"/>
          <w:b/>
          <w:bCs/>
          <w:color w:val="171717" w:themeColor="background2" w:themeShade="1A"/>
        </w:rPr>
      </w:pPr>
      <w:r>
        <w:rPr>
          <w:rFonts w:ascii="Cambria" w:hAnsi="Cambria"/>
          <w:b/>
          <w:bCs/>
          <w:color w:val="171717" w:themeColor="background2" w:themeShade="1A"/>
        </w:rPr>
        <w:t>Figure</w:t>
      </w:r>
      <w:r w:rsidRPr="002C4629">
        <w:rPr>
          <w:rFonts w:ascii="Cambria" w:hAnsi="Cambria"/>
          <w:b/>
          <w:bCs/>
          <w:color w:val="171717" w:themeColor="background2" w:themeShade="1A"/>
        </w:rPr>
        <w:t xml:space="preserve"> </w:t>
      </w:r>
      <w:r>
        <w:rPr>
          <w:rFonts w:ascii="Cambria" w:hAnsi="Cambria"/>
          <w:b/>
          <w:bCs/>
          <w:color w:val="171717" w:themeColor="background2" w:themeShade="1A"/>
        </w:rPr>
        <w:t>10</w:t>
      </w:r>
      <w:r w:rsidRPr="002C4629">
        <w:rPr>
          <w:rFonts w:ascii="Cambria" w:hAnsi="Cambria"/>
          <w:b/>
          <w:bCs/>
          <w:color w:val="171717" w:themeColor="background2" w:themeShade="1A"/>
        </w:rPr>
        <w:t xml:space="preserve">. </w:t>
      </w:r>
      <w:r>
        <w:rPr>
          <w:rFonts w:ascii="Cambria" w:hAnsi="Cambria"/>
          <w:b/>
          <w:bCs/>
          <w:color w:val="171717" w:themeColor="background2" w:themeShade="1A"/>
        </w:rPr>
        <w:t xml:space="preserve">Cohort IV </w:t>
      </w:r>
      <w:r w:rsidRPr="002C4629">
        <w:rPr>
          <w:rFonts w:ascii="Cambria" w:hAnsi="Cambria"/>
          <w:b/>
          <w:bCs/>
          <w:color w:val="171717" w:themeColor="background2" w:themeShade="1A"/>
        </w:rPr>
        <w:t xml:space="preserve">Conditions </w:t>
      </w:r>
      <w:r>
        <w:rPr>
          <w:rFonts w:ascii="Cambria" w:hAnsi="Cambria"/>
          <w:b/>
          <w:bCs/>
          <w:color w:val="171717" w:themeColor="background2" w:themeShade="1A"/>
        </w:rPr>
        <w:t>of</w:t>
      </w:r>
      <w:r w:rsidRPr="002C4629">
        <w:rPr>
          <w:rFonts w:ascii="Cambria" w:hAnsi="Cambria"/>
          <w:b/>
          <w:bCs/>
          <w:color w:val="171717" w:themeColor="background2" w:themeShade="1A"/>
        </w:rPr>
        <w:t xml:space="preserve"> Performance Assessments Administration </w:t>
      </w:r>
    </w:p>
    <w:p w14:paraId="6A291A2C" w14:textId="656735AF" w:rsidR="00954541" w:rsidRDefault="001F2FB4">
      <w:pPr>
        <w:rPr>
          <w:rFonts w:ascii="Cambria" w:hAnsi="Cambria"/>
          <w:b/>
          <w:bCs/>
          <w:color w:val="171717" w:themeColor="background2" w:themeShade="1A"/>
        </w:rPr>
      </w:pPr>
      <w:r>
        <w:rPr>
          <w:noProof/>
        </w:rPr>
        <w:lastRenderedPageBreak/>
        <w:drawing>
          <wp:inline distT="0" distB="0" distL="0" distR="0" wp14:anchorId="438362E0" wp14:editId="1610AE66">
            <wp:extent cx="5943600" cy="3143250"/>
            <wp:effectExtent l="0" t="0" r="12700" b="6350"/>
            <wp:docPr id="498831813"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BEEC11A" w14:textId="0584E3F1" w:rsidR="00954541" w:rsidRDefault="00954541">
      <w:pPr>
        <w:rPr>
          <w:rFonts w:ascii="Cambria" w:hAnsi="Cambria"/>
          <w:b/>
          <w:bCs/>
          <w:color w:val="171717" w:themeColor="background2" w:themeShade="1A"/>
        </w:rPr>
      </w:pPr>
    </w:p>
    <w:p w14:paraId="177B103C" w14:textId="180921BE" w:rsidR="00A94E97" w:rsidRPr="002C4629" w:rsidRDefault="00A94E97" w:rsidP="00A94E97">
      <w:pPr>
        <w:rPr>
          <w:rFonts w:ascii="Cambria" w:hAnsi="Cambria"/>
          <w:b/>
          <w:bCs/>
          <w:color w:val="171717" w:themeColor="background2" w:themeShade="1A"/>
        </w:rPr>
      </w:pPr>
      <w:r>
        <w:rPr>
          <w:rFonts w:ascii="Cambria" w:hAnsi="Cambria"/>
          <w:b/>
          <w:bCs/>
          <w:color w:val="171717" w:themeColor="background2" w:themeShade="1A"/>
        </w:rPr>
        <w:t>Figure</w:t>
      </w:r>
      <w:r w:rsidRPr="002C4629">
        <w:rPr>
          <w:rFonts w:ascii="Cambria" w:hAnsi="Cambria"/>
          <w:b/>
          <w:bCs/>
          <w:color w:val="171717" w:themeColor="background2" w:themeShade="1A"/>
        </w:rPr>
        <w:t xml:space="preserve"> </w:t>
      </w:r>
      <w:r>
        <w:rPr>
          <w:rFonts w:ascii="Cambria" w:hAnsi="Cambria"/>
          <w:b/>
          <w:bCs/>
          <w:color w:val="171717" w:themeColor="background2" w:themeShade="1A"/>
        </w:rPr>
        <w:t>11</w:t>
      </w:r>
      <w:r w:rsidRPr="002C4629">
        <w:rPr>
          <w:rFonts w:ascii="Cambria" w:hAnsi="Cambria"/>
          <w:b/>
          <w:bCs/>
          <w:color w:val="171717" w:themeColor="background2" w:themeShade="1A"/>
        </w:rPr>
        <w:t xml:space="preserve">. </w:t>
      </w:r>
      <w:r>
        <w:rPr>
          <w:rFonts w:ascii="Cambria" w:hAnsi="Cambria"/>
          <w:b/>
          <w:bCs/>
          <w:color w:val="171717" w:themeColor="background2" w:themeShade="1A"/>
        </w:rPr>
        <w:t xml:space="preserve">Cohort V </w:t>
      </w:r>
      <w:r w:rsidRPr="002C4629">
        <w:rPr>
          <w:rFonts w:ascii="Cambria" w:hAnsi="Cambria"/>
          <w:b/>
          <w:bCs/>
          <w:color w:val="171717" w:themeColor="background2" w:themeShade="1A"/>
        </w:rPr>
        <w:t xml:space="preserve">Conditions </w:t>
      </w:r>
      <w:r>
        <w:rPr>
          <w:rFonts w:ascii="Cambria" w:hAnsi="Cambria"/>
          <w:b/>
          <w:bCs/>
          <w:color w:val="171717" w:themeColor="background2" w:themeShade="1A"/>
        </w:rPr>
        <w:t>of</w:t>
      </w:r>
      <w:r w:rsidRPr="002C4629">
        <w:rPr>
          <w:rFonts w:ascii="Cambria" w:hAnsi="Cambria"/>
          <w:b/>
          <w:bCs/>
          <w:color w:val="171717" w:themeColor="background2" w:themeShade="1A"/>
        </w:rPr>
        <w:t xml:space="preserve"> Performance Assessments Administration </w:t>
      </w:r>
    </w:p>
    <w:p w14:paraId="685F50F3" w14:textId="303FE899" w:rsidR="008A3780" w:rsidRDefault="00A94E97">
      <w:pPr>
        <w:rPr>
          <w:rFonts w:ascii="Cambria" w:hAnsi="Cambria"/>
          <w:b/>
          <w:bCs/>
          <w:color w:val="171717" w:themeColor="background2" w:themeShade="1A"/>
        </w:rPr>
      </w:pPr>
      <w:r>
        <w:rPr>
          <w:noProof/>
        </w:rPr>
        <w:drawing>
          <wp:inline distT="0" distB="0" distL="0" distR="0" wp14:anchorId="1ECAF2BA" wp14:editId="4E94AF6C">
            <wp:extent cx="6267691" cy="3239770"/>
            <wp:effectExtent l="0" t="0" r="6350" b="11430"/>
            <wp:docPr id="1189845337"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E3DDAE0" w14:textId="77777777" w:rsidR="008A3780" w:rsidRDefault="008A3780">
      <w:pPr>
        <w:rPr>
          <w:rFonts w:ascii="Cambria" w:hAnsi="Cambria"/>
          <w:b/>
          <w:bCs/>
          <w:color w:val="171717" w:themeColor="background2" w:themeShade="1A"/>
        </w:rPr>
      </w:pPr>
    </w:p>
    <w:tbl>
      <w:tblPr>
        <w:tblW w:w="8540" w:type="dxa"/>
        <w:tblLook w:val="04A0" w:firstRow="1" w:lastRow="0" w:firstColumn="1" w:lastColumn="0" w:noHBand="0" w:noVBand="1"/>
      </w:tblPr>
      <w:tblGrid>
        <w:gridCol w:w="8540"/>
      </w:tblGrid>
      <w:tr w:rsidR="00822FDF" w:rsidRPr="00822FDF" w14:paraId="1061AC1A" w14:textId="77777777" w:rsidTr="00822FDF">
        <w:trPr>
          <w:trHeight w:val="300"/>
        </w:trPr>
        <w:tc>
          <w:tcPr>
            <w:tcW w:w="8540" w:type="dxa"/>
            <w:tcBorders>
              <w:top w:val="nil"/>
              <w:left w:val="nil"/>
              <w:bottom w:val="nil"/>
              <w:right w:val="nil"/>
            </w:tcBorders>
            <w:vAlign w:val="bottom"/>
            <w:hideMark/>
          </w:tcPr>
          <w:p w14:paraId="35644A96" w14:textId="53F62AD0" w:rsidR="00C142F2" w:rsidRPr="00C142F2" w:rsidRDefault="00C142F2" w:rsidP="00C142F2">
            <w:pPr>
              <w:rPr>
                <w:rFonts w:ascii="Cambria" w:eastAsia="Times New Roman" w:hAnsi="Cambria" w:cs="Times New Roman"/>
                <w:b/>
                <w:bCs/>
              </w:rPr>
            </w:pPr>
            <w:r>
              <w:rPr>
                <w:rFonts w:ascii="Cambria" w:eastAsia="Times New Roman" w:hAnsi="Cambria" w:cs="Times New Roman"/>
                <w:b/>
                <w:bCs/>
              </w:rPr>
              <w:t>Conclusion</w:t>
            </w:r>
          </w:p>
          <w:p w14:paraId="638E3548" w14:textId="77777777" w:rsidR="00C142F2" w:rsidRDefault="00C142F2" w:rsidP="00C142F2">
            <w:pPr>
              <w:rPr>
                <w:rFonts w:ascii="Cambria" w:eastAsia="Times New Roman" w:hAnsi="Cambria" w:cs="Times New Roman"/>
              </w:rPr>
            </w:pPr>
          </w:p>
          <w:p w14:paraId="1D36FE01" w14:textId="4394F102" w:rsidR="007C427C" w:rsidRDefault="00C142F2" w:rsidP="00C142F2">
            <w:pPr>
              <w:rPr>
                <w:rFonts w:ascii="Cambria" w:eastAsia="Times New Roman" w:hAnsi="Cambria" w:cs="Times New Roman"/>
              </w:rPr>
            </w:pPr>
            <w:r>
              <w:rPr>
                <w:rFonts w:ascii="Cambria" w:eastAsia="Times New Roman" w:hAnsi="Cambria" w:cs="Times New Roman"/>
              </w:rPr>
              <w:t>Participants continue to think very highly of the MiPAC program. Responses</w:t>
            </w:r>
            <w:r w:rsidR="006749C7">
              <w:rPr>
                <w:rFonts w:ascii="Cambria" w:eastAsia="Times New Roman" w:hAnsi="Cambria" w:cs="Times New Roman"/>
              </w:rPr>
              <w:t xml:space="preserve"> </w:t>
            </w:r>
            <w:r>
              <w:rPr>
                <w:rFonts w:ascii="Cambria" w:eastAsia="Times New Roman" w:hAnsi="Cambria" w:cs="Times New Roman"/>
              </w:rPr>
              <w:t xml:space="preserve">across the years indicate that participants would readily recommend the program to a colleague, ostensibly because they believe that program learning sessions are of high quality that both stimulates and satisfies their desire to learn more about competency-based education. </w:t>
            </w:r>
          </w:p>
          <w:p w14:paraId="6739594E" w14:textId="77777777" w:rsidR="007C427C" w:rsidRDefault="007C427C" w:rsidP="00C142F2">
            <w:pPr>
              <w:rPr>
                <w:rFonts w:ascii="Cambria" w:eastAsia="Times New Roman" w:hAnsi="Cambria" w:cs="Times New Roman"/>
              </w:rPr>
            </w:pPr>
          </w:p>
          <w:p w14:paraId="619EEE5C" w14:textId="7E57C956" w:rsidR="00C142F2" w:rsidRPr="006749C7" w:rsidRDefault="00C142F2" w:rsidP="00C142F2">
            <w:pPr>
              <w:rPr>
                <w:rFonts w:ascii="Cambria" w:eastAsia="Times New Roman" w:hAnsi="Cambria" w:cs="Times New Roman"/>
              </w:rPr>
            </w:pPr>
            <w:r>
              <w:rPr>
                <w:rFonts w:ascii="Cambria" w:eastAsia="Times New Roman" w:hAnsi="Cambria" w:cs="Times New Roman"/>
              </w:rPr>
              <w:t>Furthermore, participants continue to express great interest in learning about the competency-based education practices captured by the survey. While these interests have shifted moderately over time, indications of “no interest” in future learning about any of the Components was exceptionally rare. Finally, while the conditions under which the assessments are being administered continue to change from year to year, assessment</w:t>
            </w:r>
            <w:r w:rsidR="007C427C">
              <w:rPr>
                <w:rFonts w:ascii="Cambria" w:eastAsia="Times New Roman" w:hAnsi="Cambria" w:cs="Times New Roman"/>
              </w:rPr>
              <w:t>s</w:t>
            </w:r>
            <w:r>
              <w:rPr>
                <w:rFonts w:ascii="Cambria" w:eastAsia="Times New Roman" w:hAnsi="Cambria" w:cs="Times New Roman"/>
              </w:rPr>
              <w:t xml:space="preserve"> are being administered. For the third year in a row, all participants indicated that assessments were in active use. </w:t>
            </w:r>
          </w:p>
          <w:p w14:paraId="1B7FEF56" w14:textId="77777777" w:rsidR="00822FDF" w:rsidRDefault="00822FDF" w:rsidP="00582F26">
            <w:pPr>
              <w:rPr>
                <w:rFonts w:ascii="Times New Roman" w:eastAsia="Times New Roman" w:hAnsi="Times New Roman" w:cs="Times New Roman"/>
                <w:sz w:val="20"/>
                <w:szCs w:val="20"/>
              </w:rPr>
            </w:pPr>
          </w:p>
          <w:p w14:paraId="37A135F0" w14:textId="77777777" w:rsidR="00437226" w:rsidRDefault="00437226" w:rsidP="00582F26">
            <w:pPr>
              <w:rPr>
                <w:rFonts w:ascii="Times New Roman" w:eastAsia="Times New Roman" w:hAnsi="Times New Roman" w:cs="Times New Roman"/>
                <w:sz w:val="20"/>
                <w:szCs w:val="20"/>
              </w:rPr>
            </w:pPr>
          </w:p>
          <w:p w14:paraId="69AC41B5" w14:textId="7C1047E6" w:rsidR="00437226" w:rsidRPr="00C142F2" w:rsidRDefault="00437226" w:rsidP="00582F26">
            <w:pPr>
              <w:rPr>
                <w:rFonts w:ascii="Cambria" w:eastAsia="Times New Roman" w:hAnsi="Cambria" w:cs="Times New Roman"/>
              </w:rPr>
            </w:pPr>
            <w:r>
              <w:rPr>
                <w:rFonts w:ascii="Cambria" w:eastAsia="Times New Roman" w:hAnsi="Cambria" w:cs="Times New Roman"/>
              </w:rPr>
              <w:t xml:space="preserve"> </w:t>
            </w:r>
          </w:p>
        </w:tc>
      </w:tr>
      <w:tr w:rsidR="00822FDF" w:rsidRPr="00822FDF" w14:paraId="32FAB8D7" w14:textId="77777777" w:rsidTr="00822FDF">
        <w:trPr>
          <w:trHeight w:val="300"/>
        </w:trPr>
        <w:tc>
          <w:tcPr>
            <w:tcW w:w="8540" w:type="dxa"/>
            <w:tcBorders>
              <w:top w:val="nil"/>
              <w:left w:val="nil"/>
              <w:bottom w:val="nil"/>
              <w:right w:val="nil"/>
            </w:tcBorders>
            <w:vAlign w:val="bottom"/>
            <w:hideMark/>
          </w:tcPr>
          <w:p w14:paraId="0E1411C7" w14:textId="77777777" w:rsidR="00822FDF" w:rsidRPr="00822FDF" w:rsidRDefault="00822FDF" w:rsidP="00822FDF">
            <w:pPr>
              <w:rPr>
                <w:rFonts w:ascii="Times New Roman" w:eastAsia="Times New Roman" w:hAnsi="Times New Roman" w:cs="Times New Roman"/>
                <w:sz w:val="20"/>
                <w:szCs w:val="20"/>
              </w:rPr>
            </w:pPr>
          </w:p>
        </w:tc>
      </w:tr>
    </w:tbl>
    <w:p w14:paraId="0E541053" w14:textId="77777777" w:rsidR="00E02CE4" w:rsidRDefault="00E02CE4">
      <w:pPr>
        <w:rPr>
          <w:rFonts w:ascii="Cambria" w:hAnsi="Cambria"/>
          <w:color w:val="171717" w:themeColor="background2" w:themeShade="1A"/>
        </w:rPr>
      </w:pPr>
    </w:p>
    <w:p w14:paraId="08A3284D" w14:textId="764DBE7A" w:rsidR="00E02CE4" w:rsidRDefault="00E02CE4">
      <w:pPr>
        <w:rPr>
          <w:rFonts w:ascii="Cambria" w:hAnsi="Cambria"/>
          <w:color w:val="171717" w:themeColor="background2" w:themeShade="1A"/>
        </w:rPr>
      </w:pPr>
    </w:p>
    <w:p w14:paraId="1F914A7B" w14:textId="77777777" w:rsidR="00E02CE4" w:rsidRDefault="00E02CE4">
      <w:pPr>
        <w:rPr>
          <w:rFonts w:ascii="Cambria" w:hAnsi="Cambria"/>
          <w:color w:val="171717" w:themeColor="background2" w:themeShade="1A"/>
        </w:rPr>
      </w:pPr>
    </w:p>
    <w:p w14:paraId="4781ED1C" w14:textId="0C352D2A" w:rsidR="002E15EF" w:rsidRPr="00E55335" w:rsidRDefault="00E02CE4">
      <w:pPr>
        <w:rPr>
          <w:rFonts w:ascii="Cambria" w:hAnsi="Cambria"/>
          <w:color w:val="171717" w:themeColor="background2" w:themeShade="1A"/>
        </w:rPr>
      </w:pPr>
      <w:r>
        <w:rPr>
          <w:rFonts w:ascii="Cambria" w:hAnsi="Cambria"/>
          <w:color w:val="171717" w:themeColor="background2" w:themeShade="1A"/>
        </w:rPr>
        <w:t xml:space="preserve"> </w:t>
      </w:r>
    </w:p>
    <w:sectPr w:rsidR="002E15EF" w:rsidRPr="00E55335">
      <w:footerReference w:type="even"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E32ABF" w14:textId="77777777" w:rsidR="00C20BBA" w:rsidRDefault="00C20BBA" w:rsidP="0085441C">
      <w:r>
        <w:separator/>
      </w:r>
    </w:p>
  </w:endnote>
  <w:endnote w:type="continuationSeparator" w:id="0">
    <w:p w14:paraId="79D9FB83" w14:textId="77777777" w:rsidR="00C20BBA" w:rsidRDefault="00C20BBA" w:rsidP="0085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37351612"/>
      <w:docPartObj>
        <w:docPartGallery w:val="Page Numbers (Bottom of Page)"/>
        <w:docPartUnique/>
      </w:docPartObj>
    </w:sdtPr>
    <w:sdtEndPr>
      <w:rPr>
        <w:rStyle w:val="PageNumber"/>
      </w:rPr>
    </w:sdtEndPr>
    <w:sdtContent>
      <w:p w14:paraId="7A446334" w14:textId="5DCBC688" w:rsidR="0085441C" w:rsidRDefault="0085441C" w:rsidP="006408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A7CBDC" w14:textId="77777777" w:rsidR="0085441C" w:rsidRDefault="008544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9169440"/>
      <w:docPartObj>
        <w:docPartGallery w:val="Page Numbers (Bottom of Page)"/>
        <w:docPartUnique/>
      </w:docPartObj>
    </w:sdtPr>
    <w:sdtEndPr>
      <w:rPr>
        <w:rStyle w:val="PageNumber"/>
      </w:rPr>
    </w:sdtEndPr>
    <w:sdtContent>
      <w:p w14:paraId="6A2EBC26" w14:textId="6D41E724" w:rsidR="0085441C" w:rsidRDefault="0085441C" w:rsidP="006408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15F397" w14:textId="77777777" w:rsidR="0085441C" w:rsidRDefault="00854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24AFB1" w14:textId="77777777" w:rsidR="00C20BBA" w:rsidRDefault="00C20BBA" w:rsidP="0085441C">
      <w:r>
        <w:separator/>
      </w:r>
    </w:p>
  </w:footnote>
  <w:footnote w:type="continuationSeparator" w:id="0">
    <w:p w14:paraId="0BAA7972" w14:textId="77777777" w:rsidR="00C20BBA" w:rsidRDefault="00C20BBA" w:rsidP="008544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C4900"/>
    <w:multiLevelType w:val="hybridMultilevel"/>
    <w:tmpl w:val="7C565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C550C"/>
    <w:multiLevelType w:val="hybridMultilevel"/>
    <w:tmpl w:val="F9A48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B465F"/>
    <w:multiLevelType w:val="hybridMultilevel"/>
    <w:tmpl w:val="CB90F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D519C"/>
    <w:multiLevelType w:val="hybridMultilevel"/>
    <w:tmpl w:val="2C866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610F72"/>
    <w:multiLevelType w:val="hybridMultilevel"/>
    <w:tmpl w:val="6914A9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22A2371"/>
    <w:multiLevelType w:val="hybridMultilevel"/>
    <w:tmpl w:val="9E722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76E99"/>
    <w:multiLevelType w:val="hybridMultilevel"/>
    <w:tmpl w:val="47889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DD4ED3"/>
    <w:multiLevelType w:val="hybridMultilevel"/>
    <w:tmpl w:val="F43A0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0453BE"/>
    <w:multiLevelType w:val="hybridMultilevel"/>
    <w:tmpl w:val="CBEC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19201A"/>
    <w:multiLevelType w:val="hybridMultilevel"/>
    <w:tmpl w:val="5F56D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7C6408"/>
    <w:multiLevelType w:val="hybridMultilevel"/>
    <w:tmpl w:val="BB4CE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0276917">
    <w:abstractNumId w:val="7"/>
  </w:num>
  <w:num w:numId="2" w16cid:durableId="1469859617">
    <w:abstractNumId w:val="1"/>
  </w:num>
  <w:num w:numId="3" w16cid:durableId="886139070">
    <w:abstractNumId w:val="2"/>
  </w:num>
  <w:num w:numId="4" w16cid:durableId="400174935">
    <w:abstractNumId w:val="8"/>
  </w:num>
  <w:num w:numId="5" w16cid:durableId="676663310">
    <w:abstractNumId w:val="3"/>
  </w:num>
  <w:num w:numId="6" w16cid:durableId="1107775244">
    <w:abstractNumId w:val="6"/>
  </w:num>
  <w:num w:numId="7" w16cid:durableId="1453550672">
    <w:abstractNumId w:val="0"/>
  </w:num>
  <w:num w:numId="8" w16cid:durableId="1108087576">
    <w:abstractNumId w:val="4"/>
  </w:num>
  <w:num w:numId="9" w16cid:durableId="1450005869">
    <w:abstractNumId w:val="9"/>
  </w:num>
  <w:num w:numId="10" w16cid:durableId="310988661">
    <w:abstractNumId w:val="10"/>
  </w:num>
  <w:num w:numId="11" w16cid:durableId="16370274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D4E"/>
    <w:rsid w:val="000010EC"/>
    <w:rsid w:val="00001D3E"/>
    <w:rsid w:val="00004594"/>
    <w:rsid w:val="00014DF5"/>
    <w:rsid w:val="000206CE"/>
    <w:rsid w:val="0002152C"/>
    <w:rsid w:val="000236F5"/>
    <w:rsid w:val="00030A92"/>
    <w:rsid w:val="000505B0"/>
    <w:rsid w:val="000511AE"/>
    <w:rsid w:val="00080613"/>
    <w:rsid w:val="00091966"/>
    <w:rsid w:val="000B4AE1"/>
    <w:rsid w:val="000B647A"/>
    <w:rsid w:val="000C6A6F"/>
    <w:rsid w:val="000D3C9B"/>
    <w:rsid w:val="000E1DF2"/>
    <w:rsid w:val="000E7069"/>
    <w:rsid w:val="000F004C"/>
    <w:rsid w:val="000F4D0C"/>
    <w:rsid w:val="000F6AD3"/>
    <w:rsid w:val="00100A8D"/>
    <w:rsid w:val="00117D2D"/>
    <w:rsid w:val="001432CC"/>
    <w:rsid w:val="001602F8"/>
    <w:rsid w:val="001621AC"/>
    <w:rsid w:val="00163A2E"/>
    <w:rsid w:val="0016471C"/>
    <w:rsid w:val="00181052"/>
    <w:rsid w:val="00181DDF"/>
    <w:rsid w:val="00194756"/>
    <w:rsid w:val="00196BD5"/>
    <w:rsid w:val="001A2AE0"/>
    <w:rsid w:val="001B19F2"/>
    <w:rsid w:val="001B6960"/>
    <w:rsid w:val="001C69BD"/>
    <w:rsid w:val="001E5ECF"/>
    <w:rsid w:val="001E68EA"/>
    <w:rsid w:val="001F2FB4"/>
    <w:rsid w:val="001F795A"/>
    <w:rsid w:val="00201544"/>
    <w:rsid w:val="00220756"/>
    <w:rsid w:val="00234A47"/>
    <w:rsid w:val="00243889"/>
    <w:rsid w:val="00251DD6"/>
    <w:rsid w:val="00252135"/>
    <w:rsid w:val="00262D4E"/>
    <w:rsid w:val="00264F0A"/>
    <w:rsid w:val="002707EB"/>
    <w:rsid w:val="0027474A"/>
    <w:rsid w:val="0027522D"/>
    <w:rsid w:val="002862E3"/>
    <w:rsid w:val="002944A1"/>
    <w:rsid w:val="002A2E17"/>
    <w:rsid w:val="002B4FD8"/>
    <w:rsid w:val="002C4629"/>
    <w:rsid w:val="002C7550"/>
    <w:rsid w:val="002E0FD7"/>
    <w:rsid w:val="002E15EF"/>
    <w:rsid w:val="002F3167"/>
    <w:rsid w:val="00300B1C"/>
    <w:rsid w:val="00305083"/>
    <w:rsid w:val="00311A3F"/>
    <w:rsid w:val="003315F8"/>
    <w:rsid w:val="00342463"/>
    <w:rsid w:val="0036047A"/>
    <w:rsid w:val="00367A99"/>
    <w:rsid w:val="00370A5F"/>
    <w:rsid w:val="003839DB"/>
    <w:rsid w:val="003A1819"/>
    <w:rsid w:val="003C32B0"/>
    <w:rsid w:val="003C7C4A"/>
    <w:rsid w:val="00401867"/>
    <w:rsid w:val="0040296B"/>
    <w:rsid w:val="00411757"/>
    <w:rsid w:val="00426720"/>
    <w:rsid w:val="00430289"/>
    <w:rsid w:val="00437226"/>
    <w:rsid w:val="00444071"/>
    <w:rsid w:val="0045266F"/>
    <w:rsid w:val="00464DB0"/>
    <w:rsid w:val="00472905"/>
    <w:rsid w:val="00477DBD"/>
    <w:rsid w:val="00486B8E"/>
    <w:rsid w:val="004A3492"/>
    <w:rsid w:val="004A403D"/>
    <w:rsid w:val="004C1048"/>
    <w:rsid w:val="004D6CF6"/>
    <w:rsid w:val="004D7AEA"/>
    <w:rsid w:val="004E4995"/>
    <w:rsid w:val="004F3114"/>
    <w:rsid w:val="004F7DBC"/>
    <w:rsid w:val="00502A1E"/>
    <w:rsid w:val="00520C06"/>
    <w:rsid w:val="00541765"/>
    <w:rsid w:val="005608E2"/>
    <w:rsid w:val="00560CC2"/>
    <w:rsid w:val="00563C8B"/>
    <w:rsid w:val="00582F26"/>
    <w:rsid w:val="00582FB1"/>
    <w:rsid w:val="00583415"/>
    <w:rsid w:val="005A005A"/>
    <w:rsid w:val="005A33CC"/>
    <w:rsid w:val="005C7A32"/>
    <w:rsid w:val="00600047"/>
    <w:rsid w:val="00614F5C"/>
    <w:rsid w:val="00615E89"/>
    <w:rsid w:val="00624777"/>
    <w:rsid w:val="00624C35"/>
    <w:rsid w:val="006469CC"/>
    <w:rsid w:val="00657DE5"/>
    <w:rsid w:val="006602B9"/>
    <w:rsid w:val="0066030A"/>
    <w:rsid w:val="00661D15"/>
    <w:rsid w:val="00672590"/>
    <w:rsid w:val="006749C7"/>
    <w:rsid w:val="00683BAD"/>
    <w:rsid w:val="006A4EB0"/>
    <w:rsid w:val="006B0E0E"/>
    <w:rsid w:val="006D3B10"/>
    <w:rsid w:val="006D6774"/>
    <w:rsid w:val="006E752C"/>
    <w:rsid w:val="006E7B39"/>
    <w:rsid w:val="006F6166"/>
    <w:rsid w:val="00703EFB"/>
    <w:rsid w:val="00731D7B"/>
    <w:rsid w:val="00760E24"/>
    <w:rsid w:val="007626AD"/>
    <w:rsid w:val="00771036"/>
    <w:rsid w:val="00775DA1"/>
    <w:rsid w:val="00785FD5"/>
    <w:rsid w:val="007935CA"/>
    <w:rsid w:val="007A60D8"/>
    <w:rsid w:val="007A6345"/>
    <w:rsid w:val="007B77CF"/>
    <w:rsid w:val="007C289D"/>
    <w:rsid w:val="007C427C"/>
    <w:rsid w:val="007E335D"/>
    <w:rsid w:val="00800D88"/>
    <w:rsid w:val="00801302"/>
    <w:rsid w:val="008106F2"/>
    <w:rsid w:val="008172BE"/>
    <w:rsid w:val="00821664"/>
    <w:rsid w:val="00822FDF"/>
    <w:rsid w:val="00831942"/>
    <w:rsid w:val="00842400"/>
    <w:rsid w:val="008436ED"/>
    <w:rsid w:val="0085441C"/>
    <w:rsid w:val="00874AB8"/>
    <w:rsid w:val="00882765"/>
    <w:rsid w:val="00894F04"/>
    <w:rsid w:val="008960D0"/>
    <w:rsid w:val="008A3780"/>
    <w:rsid w:val="008C440B"/>
    <w:rsid w:val="008E03DC"/>
    <w:rsid w:val="008F296B"/>
    <w:rsid w:val="00922C1C"/>
    <w:rsid w:val="009319C7"/>
    <w:rsid w:val="00944E72"/>
    <w:rsid w:val="0094517E"/>
    <w:rsid w:val="00954541"/>
    <w:rsid w:val="00957986"/>
    <w:rsid w:val="00963DFC"/>
    <w:rsid w:val="00983366"/>
    <w:rsid w:val="00992DDA"/>
    <w:rsid w:val="009A7CBA"/>
    <w:rsid w:val="009B0CEF"/>
    <w:rsid w:val="009B37ED"/>
    <w:rsid w:val="009B4553"/>
    <w:rsid w:val="009E0F63"/>
    <w:rsid w:val="009E2FB1"/>
    <w:rsid w:val="009E31D0"/>
    <w:rsid w:val="009E3E11"/>
    <w:rsid w:val="009F2A07"/>
    <w:rsid w:val="009F6FD2"/>
    <w:rsid w:val="009F7041"/>
    <w:rsid w:val="009F7EBE"/>
    <w:rsid w:val="00A00E9E"/>
    <w:rsid w:val="00A034F6"/>
    <w:rsid w:val="00A065BF"/>
    <w:rsid w:val="00A11167"/>
    <w:rsid w:val="00A11B8B"/>
    <w:rsid w:val="00A2369F"/>
    <w:rsid w:val="00A3103F"/>
    <w:rsid w:val="00A364AB"/>
    <w:rsid w:val="00A470F4"/>
    <w:rsid w:val="00A55522"/>
    <w:rsid w:val="00A67D7B"/>
    <w:rsid w:val="00A767A5"/>
    <w:rsid w:val="00A8331A"/>
    <w:rsid w:val="00A9125D"/>
    <w:rsid w:val="00A94E97"/>
    <w:rsid w:val="00AB2BD1"/>
    <w:rsid w:val="00AB6F47"/>
    <w:rsid w:val="00AB7FA6"/>
    <w:rsid w:val="00AD2ECB"/>
    <w:rsid w:val="00B049D1"/>
    <w:rsid w:val="00B05A53"/>
    <w:rsid w:val="00B4231C"/>
    <w:rsid w:val="00B44B2A"/>
    <w:rsid w:val="00B57CBC"/>
    <w:rsid w:val="00B663E8"/>
    <w:rsid w:val="00B74835"/>
    <w:rsid w:val="00B76C15"/>
    <w:rsid w:val="00B97878"/>
    <w:rsid w:val="00BA3A40"/>
    <w:rsid w:val="00BB1524"/>
    <w:rsid w:val="00BB77B6"/>
    <w:rsid w:val="00BC5C0B"/>
    <w:rsid w:val="00BD1EBA"/>
    <w:rsid w:val="00BE5C44"/>
    <w:rsid w:val="00BF0147"/>
    <w:rsid w:val="00BF5C57"/>
    <w:rsid w:val="00C05D4E"/>
    <w:rsid w:val="00C13E4C"/>
    <w:rsid w:val="00C142F2"/>
    <w:rsid w:val="00C20813"/>
    <w:rsid w:val="00C20BBA"/>
    <w:rsid w:val="00C22E0E"/>
    <w:rsid w:val="00C35486"/>
    <w:rsid w:val="00C56083"/>
    <w:rsid w:val="00C6249C"/>
    <w:rsid w:val="00C82AA2"/>
    <w:rsid w:val="00CB76F3"/>
    <w:rsid w:val="00CC170F"/>
    <w:rsid w:val="00CC663A"/>
    <w:rsid w:val="00CD17C2"/>
    <w:rsid w:val="00CD410B"/>
    <w:rsid w:val="00CD5AD2"/>
    <w:rsid w:val="00CD6A21"/>
    <w:rsid w:val="00CE72A9"/>
    <w:rsid w:val="00D42A98"/>
    <w:rsid w:val="00D440AA"/>
    <w:rsid w:val="00D503D7"/>
    <w:rsid w:val="00D569BC"/>
    <w:rsid w:val="00D61824"/>
    <w:rsid w:val="00D626BB"/>
    <w:rsid w:val="00D826F7"/>
    <w:rsid w:val="00D86733"/>
    <w:rsid w:val="00D93E9A"/>
    <w:rsid w:val="00DA0C5A"/>
    <w:rsid w:val="00DA4F4C"/>
    <w:rsid w:val="00DD602F"/>
    <w:rsid w:val="00DE79B4"/>
    <w:rsid w:val="00DF261F"/>
    <w:rsid w:val="00E01F14"/>
    <w:rsid w:val="00E02CE4"/>
    <w:rsid w:val="00E04A09"/>
    <w:rsid w:val="00E11736"/>
    <w:rsid w:val="00E132C0"/>
    <w:rsid w:val="00E334B7"/>
    <w:rsid w:val="00E37E65"/>
    <w:rsid w:val="00E53279"/>
    <w:rsid w:val="00E53A6D"/>
    <w:rsid w:val="00E55335"/>
    <w:rsid w:val="00E664F7"/>
    <w:rsid w:val="00E932EF"/>
    <w:rsid w:val="00EB7DFC"/>
    <w:rsid w:val="00ED230B"/>
    <w:rsid w:val="00ED2367"/>
    <w:rsid w:val="00ED41AD"/>
    <w:rsid w:val="00ED6F02"/>
    <w:rsid w:val="00ED702B"/>
    <w:rsid w:val="00EE0540"/>
    <w:rsid w:val="00EF148F"/>
    <w:rsid w:val="00EF1DCF"/>
    <w:rsid w:val="00EF4A61"/>
    <w:rsid w:val="00F11679"/>
    <w:rsid w:val="00F22558"/>
    <w:rsid w:val="00F50026"/>
    <w:rsid w:val="00F654F4"/>
    <w:rsid w:val="00F7423F"/>
    <w:rsid w:val="00F96366"/>
    <w:rsid w:val="00FB6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FA7A4"/>
  <w15:chartTrackingRefBased/>
  <w15:docId w15:val="{963B00FD-ECEC-BB42-AF61-C283DD323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0F4"/>
    <w:pPr>
      <w:spacing w:before="100" w:beforeAutospacing="1" w:after="100" w:afterAutospacing="1"/>
    </w:pPr>
    <w:rPr>
      <w:sz w:val="22"/>
      <w:szCs w:val="22"/>
    </w:rPr>
  </w:style>
  <w:style w:type="table" w:styleId="TableGrid">
    <w:name w:val="Table Grid"/>
    <w:basedOn w:val="TableNormal"/>
    <w:uiPriority w:val="39"/>
    <w:rsid w:val="00E55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D3B10"/>
  </w:style>
  <w:style w:type="paragraph" w:styleId="Footer">
    <w:name w:val="footer"/>
    <w:basedOn w:val="Normal"/>
    <w:link w:val="FooterChar"/>
    <w:uiPriority w:val="99"/>
    <w:unhideWhenUsed/>
    <w:rsid w:val="0085441C"/>
    <w:pPr>
      <w:tabs>
        <w:tab w:val="center" w:pos="4680"/>
        <w:tab w:val="right" w:pos="9360"/>
      </w:tabs>
    </w:pPr>
  </w:style>
  <w:style w:type="character" w:customStyle="1" w:styleId="FooterChar">
    <w:name w:val="Footer Char"/>
    <w:basedOn w:val="DefaultParagraphFont"/>
    <w:link w:val="Footer"/>
    <w:uiPriority w:val="99"/>
    <w:rsid w:val="0085441C"/>
  </w:style>
  <w:style w:type="character" w:styleId="PageNumber">
    <w:name w:val="page number"/>
    <w:basedOn w:val="DefaultParagraphFont"/>
    <w:uiPriority w:val="99"/>
    <w:semiHidden/>
    <w:unhideWhenUsed/>
    <w:rsid w:val="0085441C"/>
  </w:style>
  <w:style w:type="paragraph" w:styleId="Header">
    <w:name w:val="header"/>
    <w:basedOn w:val="Normal"/>
    <w:link w:val="HeaderChar"/>
    <w:uiPriority w:val="99"/>
    <w:unhideWhenUsed/>
    <w:rsid w:val="00AB7FA6"/>
    <w:pPr>
      <w:tabs>
        <w:tab w:val="center" w:pos="4680"/>
        <w:tab w:val="right" w:pos="9360"/>
      </w:tabs>
    </w:pPr>
  </w:style>
  <w:style w:type="character" w:customStyle="1" w:styleId="HeaderChar">
    <w:name w:val="Header Char"/>
    <w:basedOn w:val="DefaultParagraphFont"/>
    <w:link w:val="Header"/>
    <w:uiPriority w:val="99"/>
    <w:rsid w:val="00AB7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28431">
      <w:bodyDiv w:val="1"/>
      <w:marLeft w:val="0"/>
      <w:marRight w:val="0"/>
      <w:marTop w:val="0"/>
      <w:marBottom w:val="0"/>
      <w:divBdr>
        <w:top w:val="none" w:sz="0" w:space="0" w:color="auto"/>
        <w:left w:val="none" w:sz="0" w:space="0" w:color="auto"/>
        <w:bottom w:val="none" w:sz="0" w:space="0" w:color="auto"/>
        <w:right w:val="none" w:sz="0" w:space="0" w:color="auto"/>
      </w:divBdr>
    </w:div>
    <w:div w:id="452090431">
      <w:bodyDiv w:val="1"/>
      <w:marLeft w:val="0"/>
      <w:marRight w:val="0"/>
      <w:marTop w:val="0"/>
      <w:marBottom w:val="0"/>
      <w:divBdr>
        <w:top w:val="none" w:sz="0" w:space="0" w:color="auto"/>
        <w:left w:val="none" w:sz="0" w:space="0" w:color="auto"/>
        <w:bottom w:val="none" w:sz="0" w:space="0" w:color="auto"/>
        <w:right w:val="none" w:sz="0" w:space="0" w:color="auto"/>
      </w:divBdr>
    </w:div>
    <w:div w:id="480123434">
      <w:bodyDiv w:val="1"/>
      <w:marLeft w:val="0"/>
      <w:marRight w:val="0"/>
      <w:marTop w:val="0"/>
      <w:marBottom w:val="0"/>
      <w:divBdr>
        <w:top w:val="none" w:sz="0" w:space="0" w:color="auto"/>
        <w:left w:val="none" w:sz="0" w:space="0" w:color="auto"/>
        <w:bottom w:val="none" w:sz="0" w:space="0" w:color="auto"/>
        <w:right w:val="none" w:sz="0" w:space="0" w:color="auto"/>
      </w:divBdr>
    </w:div>
    <w:div w:id="843780452">
      <w:bodyDiv w:val="1"/>
      <w:marLeft w:val="0"/>
      <w:marRight w:val="0"/>
      <w:marTop w:val="0"/>
      <w:marBottom w:val="0"/>
      <w:divBdr>
        <w:top w:val="none" w:sz="0" w:space="0" w:color="auto"/>
        <w:left w:val="none" w:sz="0" w:space="0" w:color="auto"/>
        <w:bottom w:val="none" w:sz="0" w:space="0" w:color="auto"/>
        <w:right w:val="none" w:sz="0" w:space="0" w:color="auto"/>
      </w:divBdr>
    </w:div>
    <w:div w:id="850874893">
      <w:bodyDiv w:val="1"/>
      <w:marLeft w:val="0"/>
      <w:marRight w:val="0"/>
      <w:marTop w:val="0"/>
      <w:marBottom w:val="0"/>
      <w:divBdr>
        <w:top w:val="none" w:sz="0" w:space="0" w:color="auto"/>
        <w:left w:val="none" w:sz="0" w:space="0" w:color="auto"/>
        <w:bottom w:val="none" w:sz="0" w:space="0" w:color="auto"/>
        <w:right w:val="none" w:sz="0" w:space="0" w:color="auto"/>
      </w:divBdr>
    </w:div>
    <w:div w:id="1029138245">
      <w:bodyDiv w:val="1"/>
      <w:marLeft w:val="0"/>
      <w:marRight w:val="0"/>
      <w:marTop w:val="0"/>
      <w:marBottom w:val="0"/>
      <w:divBdr>
        <w:top w:val="none" w:sz="0" w:space="0" w:color="auto"/>
        <w:left w:val="none" w:sz="0" w:space="0" w:color="auto"/>
        <w:bottom w:val="none" w:sz="0" w:space="0" w:color="auto"/>
        <w:right w:val="none" w:sz="0" w:space="0" w:color="auto"/>
      </w:divBdr>
    </w:div>
    <w:div w:id="1520503211">
      <w:bodyDiv w:val="1"/>
      <w:marLeft w:val="0"/>
      <w:marRight w:val="0"/>
      <w:marTop w:val="0"/>
      <w:marBottom w:val="0"/>
      <w:divBdr>
        <w:top w:val="none" w:sz="0" w:space="0" w:color="auto"/>
        <w:left w:val="none" w:sz="0" w:space="0" w:color="auto"/>
        <w:bottom w:val="none" w:sz="0" w:space="0" w:color="auto"/>
        <w:right w:val="none" w:sz="0" w:space="0" w:color="auto"/>
      </w:divBdr>
    </w:div>
    <w:div w:id="210653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7.xml"/><Relationship Id="rId18" Type="http://schemas.openxmlformats.org/officeDocument/2006/relationships/chart" Target="charts/chart12.xml"/><Relationship Id="rId26" Type="http://schemas.openxmlformats.org/officeDocument/2006/relationships/chart" Target="charts/chart20.xml"/><Relationship Id="rId39" Type="http://schemas.openxmlformats.org/officeDocument/2006/relationships/theme" Target="theme/theme1.xml"/><Relationship Id="rId21" Type="http://schemas.openxmlformats.org/officeDocument/2006/relationships/chart" Target="charts/chart15.xml"/><Relationship Id="rId34" Type="http://schemas.openxmlformats.org/officeDocument/2006/relationships/chart" Target="charts/chart28.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5" Type="http://schemas.openxmlformats.org/officeDocument/2006/relationships/chart" Target="charts/chart19.xml"/><Relationship Id="rId33" Type="http://schemas.openxmlformats.org/officeDocument/2006/relationships/chart" Target="charts/chart2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chart" Target="charts/chart14.xml"/><Relationship Id="rId29" Type="http://schemas.openxmlformats.org/officeDocument/2006/relationships/chart" Target="charts/chart2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chart" Target="charts/chart18.xml"/><Relationship Id="rId32" Type="http://schemas.openxmlformats.org/officeDocument/2006/relationships/chart" Target="charts/chart26.xml"/><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chart" Target="charts/chart17.xml"/><Relationship Id="rId28" Type="http://schemas.openxmlformats.org/officeDocument/2006/relationships/chart" Target="charts/chart22.xml"/><Relationship Id="rId36" Type="http://schemas.openxmlformats.org/officeDocument/2006/relationships/footer" Target="footer1.xml"/><Relationship Id="rId10" Type="http://schemas.openxmlformats.org/officeDocument/2006/relationships/chart" Target="charts/chart4.xml"/><Relationship Id="rId19" Type="http://schemas.openxmlformats.org/officeDocument/2006/relationships/chart" Target="charts/chart13.xml"/><Relationship Id="rId31" Type="http://schemas.openxmlformats.org/officeDocument/2006/relationships/chart" Target="charts/chart25.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chart" Target="charts/chart16.xml"/><Relationship Id="rId27" Type="http://schemas.openxmlformats.org/officeDocument/2006/relationships/chart" Target="charts/chart21.xml"/><Relationship Id="rId30" Type="http://schemas.openxmlformats.org/officeDocument/2006/relationships/chart" Target="charts/chart24.xml"/><Relationship Id="rId35" Type="http://schemas.openxmlformats.org/officeDocument/2006/relationships/chart" Target="charts/chart29.xml"/><Relationship Id="rId8" Type="http://schemas.openxmlformats.org/officeDocument/2006/relationships/chart" Target="charts/chart2.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MIPAC%20Cohort%20III%20Exit%20Survey_All%20Question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MIPAC%20Cohort%20III%20Exit%20Survey_All%20Question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MIPAC%20Cohort%20III%20Exit%20Survey_All%20Question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MIPAC%20Cohort%20III%20Exit%20Survey_All%20Question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MIPAC%20Cohort%20III%20Exit%20Survey_All%20Question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MIPAC%20Cohort%20III%20Exit%20Survey_All%20Question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MIPAC%20Cohort%20III%20Exit%20Survey_All%20Question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Users\lanejoh3\Library\CloudStorage\OneDrive-MichiganStateUniversity\Documents\Work%20Projects2\MAC\CBE%20Project\Report\Longitudinal%20Comparison\Longitudinal%20Charts%202025.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1" Type="http://schemas.openxmlformats.org/officeDocument/2006/relationships/oleObject" Target="file:///\\Users\lanejoh3\Downloads\MIPAC%20Cohort%20II%20Exit%20Survey%208.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Users\lanejoh3\Dropbox\My%20Mac%20(Johns-MacBook-Air-2.local)\Documents\Work%20Projects2\MAC\CBE%20Project\Report\2023%20Exit%20Survey%20Summary\MIPAC%20Cohort%20III%20Exit%20Survey_Tables1%20and%202.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Users\lanejoh3\Downloads\MiPAC%20Cohort%20IV%20Exit%20Survey%2014.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Users\lanejoh3\Downloads\MiPAC%20Cohort%20V%20Exit%20Survey-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a:t>I would</a:t>
            </a:r>
            <a:r>
              <a:rPr lang="en-US" sz="1400" baseline="0"/>
              <a:t> recommend MiPAC to a colleague who was looking for a meaningful professional learning experience</a:t>
            </a:r>
          </a:p>
          <a:p>
            <a:pPr>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'Question 7a'!$B$3</c:f>
              <c:strCache>
                <c:ptCount val="1"/>
                <c:pt idx="0">
                  <c:v>Strongly disagree</c:v>
                </c:pt>
              </c:strCache>
            </c:strRef>
          </c:tx>
          <c:spPr>
            <a:solidFill>
              <a:schemeClr val="accent1"/>
            </a:solidFill>
            <a:ln>
              <a:noFill/>
            </a:ln>
            <a:effectLst/>
          </c:spPr>
          <c:invertIfNegative val="0"/>
          <c:cat>
            <c:strRef>
              <c:f>'Question 7a'!$A$4:$A$7</c:f>
              <c:strCache>
                <c:ptCount val="4"/>
                <c:pt idx="0">
                  <c:v>Cohort II</c:v>
                </c:pt>
                <c:pt idx="1">
                  <c:v>Cohort III</c:v>
                </c:pt>
                <c:pt idx="2">
                  <c:v>Cohort IV</c:v>
                </c:pt>
                <c:pt idx="3">
                  <c:v>Cohort V</c:v>
                </c:pt>
              </c:strCache>
            </c:strRef>
          </c:cat>
          <c:val>
            <c:numRef>
              <c:f>'Question 7a'!$B$4:$B$7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C326-7A40-8981-979A96A0C8C2}"/>
            </c:ext>
          </c:extLst>
        </c:ser>
        <c:ser>
          <c:idx val="1"/>
          <c:order val="1"/>
          <c:tx>
            <c:strRef>
              <c:f>'Question 7a'!$C$3</c:f>
              <c:strCache>
                <c:ptCount val="1"/>
                <c:pt idx="0">
                  <c:v>Disagree</c:v>
                </c:pt>
              </c:strCache>
            </c:strRef>
          </c:tx>
          <c:spPr>
            <a:solidFill>
              <a:schemeClr val="accent2"/>
            </a:solidFill>
            <a:ln>
              <a:noFill/>
            </a:ln>
            <a:effectLst/>
          </c:spPr>
          <c:invertIfNegative val="0"/>
          <c:cat>
            <c:strRef>
              <c:f>'Question 7a'!$A$4:$A$7</c:f>
              <c:strCache>
                <c:ptCount val="4"/>
                <c:pt idx="0">
                  <c:v>Cohort II</c:v>
                </c:pt>
                <c:pt idx="1">
                  <c:v>Cohort III</c:v>
                </c:pt>
                <c:pt idx="2">
                  <c:v>Cohort IV</c:v>
                </c:pt>
                <c:pt idx="3">
                  <c:v>Cohort V</c:v>
                </c:pt>
              </c:strCache>
            </c:strRef>
          </c:cat>
          <c:val>
            <c:numRef>
              <c:f>'Question 7a'!$C$4:$C$7</c:f>
              <c:numCache>
                <c:formatCode>0.00%</c:formatCode>
                <c:ptCount val="4"/>
                <c:pt idx="0">
                  <c:v>8.3299999999999999E-2</c:v>
                </c:pt>
                <c:pt idx="1">
                  <c:v>0.15379999999999999</c:v>
                </c:pt>
                <c:pt idx="2">
                  <c:v>5.5599999999999997E-2</c:v>
                </c:pt>
                <c:pt idx="3">
                  <c:v>0.1053</c:v>
                </c:pt>
              </c:numCache>
            </c:numRef>
          </c:val>
          <c:extLst>
            <c:ext xmlns:c16="http://schemas.microsoft.com/office/drawing/2014/chart" uri="{C3380CC4-5D6E-409C-BE32-E72D297353CC}">
              <c16:uniqueId val="{00000001-C326-7A40-8981-979A96A0C8C2}"/>
            </c:ext>
          </c:extLst>
        </c:ser>
        <c:ser>
          <c:idx val="2"/>
          <c:order val="2"/>
          <c:tx>
            <c:strRef>
              <c:f>'Question 7a'!$D$3</c:f>
              <c:strCache>
                <c:ptCount val="1"/>
                <c:pt idx="0">
                  <c:v>Agree</c:v>
                </c:pt>
              </c:strCache>
            </c:strRef>
          </c:tx>
          <c:spPr>
            <a:solidFill>
              <a:schemeClr val="accent3"/>
            </a:solidFill>
            <a:ln>
              <a:noFill/>
            </a:ln>
            <a:effectLst/>
          </c:spPr>
          <c:invertIfNegative val="0"/>
          <c:cat>
            <c:strRef>
              <c:f>'Question 7a'!$A$4:$A$7</c:f>
              <c:strCache>
                <c:ptCount val="4"/>
                <c:pt idx="0">
                  <c:v>Cohort II</c:v>
                </c:pt>
                <c:pt idx="1">
                  <c:v>Cohort III</c:v>
                </c:pt>
                <c:pt idx="2">
                  <c:v>Cohort IV</c:v>
                </c:pt>
                <c:pt idx="3">
                  <c:v>Cohort V</c:v>
                </c:pt>
              </c:strCache>
            </c:strRef>
          </c:cat>
          <c:val>
            <c:numRef>
              <c:f>'Question 7a'!$D$4:$D$7</c:f>
              <c:numCache>
                <c:formatCode>0.00%</c:formatCode>
                <c:ptCount val="4"/>
                <c:pt idx="0">
                  <c:v>0.58329999999999993</c:v>
                </c:pt>
                <c:pt idx="1">
                  <c:v>0.53849999999999998</c:v>
                </c:pt>
                <c:pt idx="2">
                  <c:v>0.5</c:v>
                </c:pt>
                <c:pt idx="3">
                  <c:v>0.36840000000000012</c:v>
                </c:pt>
              </c:numCache>
            </c:numRef>
          </c:val>
          <c:extLst>
            <c:ext xmlns:c16="http://schemas.microsoft.com/office/drawing/2014/chart" uri="{C3380CC4-5D6E-409C-BE32-E72D297353CC}">
              <c16:uniqueId val="{00000002-C326-7A40-8981-979A96A0C8C2}"/>
            </c:ext>
          </c:extLst>
        </c:ser>
        <c:ser>
          <c:idx val="3"/>
          <c:order val="3"/>
          <c:tx>
            <c:strRef>
              <c:f>'Question 7a'!$E$3</c:f>
              <c:strCache>
                <c:ptCount val="1"/>
                <c:pt idx="0">
                  <c:v>Strongly agree</c:v>
                </c:pt>
              </c:strCache>
            </c:strRef>
          </c:tx>
          <c:spPr>
            <a:solidFill>
              <a:schemeClr val="accent4"/>
            </a:solidFill>
            <a:ln>
              <a:noFill/>
            </a:ln>
            <a:effectLst/>
          </c:spPr>
          <c:invertIfNegative val="0"/>
          <c:cat>
            <c:strRef>
              <c:f>'Question 7a'!$A$4:$A$7</c:f>
              <c:strCache>
                <c:ptCount val="4"/>
                <c:pt idx="0">
                  <c:v>Cohort II</c:v>
                </c:pt>
                <c:pt idx="1">
                  <c:v>Cohort III</c:v>
                </c:pt>
                <c:pt idx="2">
                  <c:v>Cohort IV</c:v>
                </c:pt>
                <c:pt idx="3">
                  <c:v>Cohort V</c:v>
                </c:pt>
              </c:strCache>
            </c:strRef>
          </c:cat>
          <c:val>
            <c:numRef>
              <c:f>'Question 7a'!$E$4:$E$7</c:f>
              <c:numCache>
                <c:formatCode>0.00%</c:formatCode>
                <c:ptCount val="4"/>
                <c:pt idx="0">
                  <c:v>0.33329999999999999</c:v>
                </c:pt>
                <c:pt idx="1">
                  <c:v>0.30769999999999997</c:v>
                </c:pt>
                <c:pt idx="2">
                  <c:v>0.44440000000000002</c:v>
                </c:pt>
                <c:pt idx="3">
                  <c:v>0.52629999999999999</c:v>
                </c:pt>
              </c:numCache>
            </c:numRef>
          </c:val>
          <c:extLst>
            <c:ext xmlns:c16="http://schemas.microsoft.com/office/drawing/2014/chart" uri="{C3380CC4-5D6E-409C-BE32-E72D297353CC}">
              <c16:uniqueId val="{00000003-C326-7A40-8981-979A96A0C8C2}"/>
            </c:ext>
          </c:extLst>
        </c:ser>
        <c:dLbls>
          <c:showLegendKey val="0"/>
          <c:showVal val="0"/>
          <c:showCatName val="0"/>
          <c:showSerName val="0"/>
          <c:showPercent val="0"/>
          <c:showBubbleSize val="0"/>
        </c:dLbls>
        <c:gapWidth val="150"/>
        <c:overlap val="100"/>
        <c:axId val="838846159"/>
        <c:axId val="838828191"/>
      </c:barChart>
      <c:catAx>
        <c:axId val="838846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28191"/>
        <c:crosses val="autoZero"/>
        <c:auto val="1"/>
        <c:lblAlgn val="ctr"/>
        <c:lblOffset val="100"/>
        <c:noMultiLvlLbl val="0"/>
      </c:catAx>
      <c:valAx>
        <c:axId val="8388281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461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a:t>The Content</a:t>
            </a:r>
            <a:r>
              <a:rPr lang="en-US" sz="1400" baseline="0"/>
              <a:t> of the MiPAC learning sessions met or exceeded my expectations</a:t>
            </a:r>
          </a:p>
          <a:p>
            <a:pPr>
              <a:defRPr/>
            </a:pPr>
            <a:r>
              <a:rPr lang="en-US" sz="1400" baseline="0"/>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'Question 7a'!$B$3</c:f>
              <c:strCache>
                <c:ptCount val="1"/>
                <c:pt idx="0">
                  <c:v>Strongly disagree</c:v>
                </c:pt>
              </c:strCache>
            </c:strRef>
          </c:tx>
          <c:spPr>
            <a:solidFill>
              <a:schemeClr val="accent1"/>
            </a:solidFill>
            <a:ln>
              <a:noFill/>
            </a:ln>
            <a:effectLst/>
          </c:spPr>
          <c:invertIfNegative val="0"/>
          <c:cat>
            <c:strRef>
              <c:f>'Question 7a'!$A$4:$A$7</c:f>
              <c:strCache>
                <c:ptCount val="4"/>
                <c:pt idx="0">
                  <c:v>Cohort II</c:v>
                </c:pt>
                <c:pt idx="1">
                  <c:v>Cohort III</c:v>
                </c:pt>
                <c:pt idx="2">
                  <c:v>Cohort IV</c:v>
                </c:pt>
                <c:pt idx="3">
                  <c:v>Cohort V</c:v>
                </c:pt>
              </c:strCache>
            </c:strRef>
          </c:cat>
          <c:val>
            <c:numRef>
              <c:f>'Question 7a'!$B$4:$B$7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2AF3-1341-8782-19ABCB424496}"/>
            </c:ext>
          </c:extLst>
        </c:ser>
        <c:ser>
          <c:idx val="1"/>
          <c:order val="1"/>
          <c:tx>
            <c:strRef>
              <c:f>'Question 7a'!$C$3</c:f>
              <c:strCache>
                <c:ptCount val="1"/>
                <c:pt idx="0">
                  <c:v>Disagree</c:v>
                </c:pt>
              </c:strCache>
            </c:strRef>
          </c:tx>
          <c:spPr>
            <a:solidFill>
              <a:schemeClr val="accent2"/>
            </a:solidFill>
            <a:ln>
              <a:noFill/>
            </a:ln>
            <a:effectLst/>
          </c:spPr>
          <c:invertIfNegative val="0"/>
          <c:cat>
            <c:strRef>
              <c:f>'Question 7a'!$A$4:$A$7</c:f>
              <c:strCache>
                <c:ptCount val="4"/>
                <c:pt idx="0">
                  <c:v>Cohort II</c:v>
                </c:pt>
                <c:pt idx="1">
                  <c:v>Cohort III</c:v>
                </c:pt>
                <c:pt idx="2">
                  <c:v>Cohort IV</c:v>
                </c:pt>
                <c:pt idx="3">
                  <c:v>Cohort V</c:v>
                </c:pt>
              </c:strCache>
            </c:strRef>
          </c:cat>
          <c:val>
            <c:numRef>
              <c:f>'Question 7a'!$C$4:$C$7</c:f>
              <c:numCache>
                <c:formatCode>0.00%</c:formatCode>
                <c:ptCount val="4"/>
                <c:pt idx="0">
                  <c:v>8.3299999999999999E-2</c:v>
                </c:pt>
                <c:pt idx="1">
                  <c:v>0.15379999999999999</c:v>
                </c:pt>
                <c:pt idx="2">
                  <c:v>5.5599999999999997E-2</c:v>
                </c:pt>
                <c:pt idx="3">
                  <c:v>0.1053</c:v>
                </c:pt>
              </c:numCache>
            </c:numRef>
          </c:val>
          <c:extLst>
            <c:ext xmlns:c16="http://schemas.microsoft.com/office/drawing/2014/chart" uri="{C3380CC4-5D6E-409C-BE32-E72D297353CC}">
              <c16:uniqueId val="{00000001-2AF3-1341-8782-19ABCB424496}"/>
            </c:ext>
          </c:extLst>
        </c:ser>
        <c:ser>
          <c:idx val="2"/>
          <c:order val="2"/>
          <c:tx>
            <c:strRef>
              <c:f>'Question 7a'!$D$3</c:f>
              <c:strCache>
                <c:ptCount val="1"/>
                <c:pt idx="0">
                  <c:v>Agree</c:v>
                </c:pt>
              </c:strCache>
            </c:strRef>
          </c:tx>
          <c:spPr>
            <a:solidFill>
              <a:schemeClr val="accent3"/>
            </a:solidFill>
            <a:ln>
              <a:noFill/>
            </a:ln>
            <a:effectLst/>
          </c:spPr>
          <c:invertIfNegative val="0"/>
          <c:cat>
            <c:strRef>
              <c:f>'Question 7a'!$A$4:$A$7</c:f>
              <c:strCache>
                <c:ptCount val="4"/>
                <c:pt idx="0">
                  <c:v>Cohort II</c:v>
                </c:pt>
                <c:pt idx="1">
                  <c:v>Cohort III</c:v>
                </c:pt>
                <c:pt idx="2">
                  <c:v>Cohort IV</c:v>
                </c:pt>
                <c:pt idx="3">
                  <c:v>Cohort V</c:v>
                </c:pt>
              </c:strCache>
            </c:strRef>
          </c:cat>
          <c:val>
            <c:numRef>
              <c:f>'Question 7a'!$D$4:$D$7</c:f>
              <c:numCache>
                <c:formatCode>0.00%</c:formatCode>
                <c:ptCount val="4"/>
                <c:pt idx="0">
                  <c:v>0.58329999999999993</c:v>
                </c:pt>
                <c:pt idx="1">
                  <c:v>0.53849999999999998</c:v>
                </c:pt>
                <c:pt idx="2">
                  <c:v>0.5</c:v>
                </c:pt>
                <c:pt idx="3">
                  <c:v>0.36840000000000012</c:v>
                </c:pt>
              </c:numCache>
            </c:numRef>
          </c:val>
          <c:extLst>
            <c:ext xmlns:c16="http://schemas.microsoft.com/office/drawing/2014/chart" uri="{C3380CC4-5D6E-409C-BE32-E72D297353CC}">
              <c16:uniqueId val="{00000002-2AF3-1341-8782-19ABCB424496}"/>
            </c:ext>
          </c:extLst>
        </c:ser>
        <c:ser>
          <c:idx val="3"/>
          <c:order val="3"/>
          <c:tx>
            <c:strRef>
              <c:f>'Question 7a'!$E$3</c:f>
              <c:strCache>
                <c:ptCount val="1"/>
                <c:pt idx="0">
                  <c:v>Strongly agree</c:v>
                </c:pt>
              </c:strCache>
            </c:strRef>
          </c:tx>
          <c:spPr>
            <a:solidFill>
              <a:schemeClr val="accent4"/>
            </a:solidFill>
            <a:ln>
              <a:noFill/>
            </a:ln>
            <a:effectLst/>
          </c:spPr>
          <c:invertIfNegative val="0"/>
          <c:cat>
            <c:strRef>
              <c:f>'Question 7a'!$A$4:$A$7</c:f>
              <c:strCache>
                <c:ptCount val="4"/>
                <c:pt idx="0">
                  <c:v>Cohort II</c:v>
                </c:pt>
                <c:pt idx="1">
                  <c:v>Cohort III</c:v>
                </c:pt>
                <c:pt idx="2">
                  <c:v>Cohort IV</c:v>
                </c:pt>
                <c:pt idx="3">
                  <c:v>Cohort V</c:v>
                </c:pt>
              </c:strCache>
            </c:strRef>
          </c:cat>
          <c:val>
            <c:numRef>
              <c:f>'Question 7a'!$E$4:$E$7</c:f>
              <c:numCache>
                <c:formatCode>0.00%</c:formatCode>
                <c:ptCount val="4"/>
                <c:pt idx="0">
                  <c:v>0.33329999999999999</c:v>
                </c:pt>
                <c:pt idx="1">
                  <c:v>0.30769999999999997</c:v>
                </c:pt>
                <c:pt idx="2">
                  <c:v>0.44440000000000002</c:v>
                </c:pt>
                <c:pt idx="3">
                  <c:v>0.52629999999999999</c:v>
                </c:pt>
              </c:numCache>
            </c:numRef>
          </c:val>
          <c:extLst>
            <c:ext xmlns:c16="http://schemas.microsoft.com/office/drawing/2014/chart" uri="{C3380CC4-5D6E-409C-BE32-E72D297353CC}">
              <c16:uniqueId val="{00000003-2AF3-1341-8782-19ABCB424496}"/>
            </c:ext>
          </c:extLst>
        </c:ser>
        <c:dLbls>
          <c:showLegendKey val="0"/>
          <c:showVal val="0"/>
          <c:showCatName val="0"/>
          <c:showSerName val="0"/>
          <c:showPercent val="0"/>
          <c:showBubbleSize val="0"/>
        </c:dLbls>
        <c:gapWidth val="150"/>
        <c:overlap val="100"/>
        <c:axId val="838846159"/>
        <c:axId val="838828191"/>
      </c:barChart>
      <c:catAx>
        <c:axId val="838846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28191"/>
        <c:crosses val="autoZero"/>
        <c:auto val="1"/>
        <c:lblAlgn val="ctr"/>
        <c:lblOffset val="100"/>
        <c:noMultiLvlLbl val="0"/>
      </c:catAx>
      <c:valAx>
        <c:axId val="8388281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461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a:effectLst/>
              </a:rPr>
              <a:t>Participating in MiPAC program activities stimulated my professional learning.</a:t>
            </a:r>
            <a:endParaRPr lang="en-US"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'Figure 3'!$B$3</c:f>
              <c:strCache>
                <c:ptCount val="1"/>
                <c:pt idx="0">
                  <c:v>Strongly disagree</c:v>
                </c:pt>
              </c:strCache>
            </c:strRef>
          </c:tx>
          <c:spPr>
            <a:solidFill>
              <a:schemeClr val="accent1"/>
            </a:solidFill>
            <a:ln>
              <a:noFill/>
            </a:ln>
            <a:effectLst/>
          </c:spPr>
          <c:invertIfNegative val="0"/>
          <c:cat>
            <c:strRef>
              <c:f>'Figure 3'!$A$4:$A$7</c:f>
              <c:strCache>
                <c:ptCount val="4"/>
                <c:pt idx="0">
                  <c:v>Cohort II</c:v>
                </c:pt>
                <c:pt idx="1">
                  <c:v>Cohort III</c:v>
                </c:pt>
                <c:pt idx="2">
                  <c:v>Cohort IV</c:v>
                </c:pt>
                <c:pt idx="3">
                  <c:v>Cohort V</c:v>
                </c:pt>
              </c:strCache>
            </c:strRef>
          </c:cat>
          <c:val>
            <c:numRef>
              <c:f>'Figure 3'!$B$4:$B$7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356F-604B-A051-2B709BCFEF87}"/>
            </c:ext>
          </c:extLst>
        </c:ser>
        <c:ser>
          <c:idx val="1"/>
          <c:order val="1"/>
          <c:tx>
            <c:strRef>
              <c:f>'Figure 3'!$C$3</c:f>
              <c:strCache>
                <c:ptCount val="1"/>
                <c:pt idx="0">
                  <c:v>Disagree</c:v>
                </c:pt>
              </c:strCache>
            </c:strRef>
          </c:tx>
          <c:spPr>
            <a:solidFill>
              <a:schemeClr val="accent2"/>
            </a:solidFill>
            <a:ln>
              <a:noFill/>
            </a:ln>
            <a:effectLst/>
          </c:spPr>
          <c:invertIfNegative val="0"/>
          <c:cat>
            <c:strRef>
              <c:f>'Figure 3'!$A$4:$A$7</c:f>
              <c:strCache>
                <c:ptCount val="4"/>
                <c:pt idx="0">
                  <c:v>Cohort II</c:v>
                </c:pt>
                <c:pt idx="1">
                  <c:v>Cohort III</c:v>
                </c:pt>
                <c:pt idx="2">
                  <c:v>Cohort IV</c:v>
                </c:pt>
                <c:pt idx="3">
                  <c:v>Cohort V</c:v>
                </c:pt>
              </c:strCache>
            </c:strRef>
          </c:cat>
          <c:val>
            <c:numRef>
              <c:f>'Figure 3'!$C$4:$C$7</c:f>
              <c:numCache>
                <c:formatCode>0.00%</c:formatCode>
                <c:ptCount val="4"/>
                <c:pt idx="0">
                  <c:v>0.16669999999999999</c:v>
                </c:pt>
                <c:pt idx="1">
                  <c:v>7.6899999999999996E-2</c:v>
                </c:pt>
                <c:pt idx="2">
                  <c:v>0</c:v>
                </c:pt>
                <c:pt idx="3">
                  <c:v>5.2600000000000001E-2</c:v>
                </c:pt>
              </c:numCache>
            </c:numRef>
          </c:val>
          <c:extLst>
            <c:ext xmlns:c16="http://schemas.microsoft.com/office/drawing/2014/chart" uri="{C3380CC4-5D6E-409C-BE32-E72D297353CC}">
              <c16:uniqueId val="{00000001-356F-604B-A051-2B709BCFEF87}"/>
            </c:ext>
          </c:extLst>
        </c:ser>
        <c:ser>
          <c:idx val="2"/>
          <c:order val="2"/>
          <c:tx>
            <c:strRef>
              <c:f>'Figure 3'!$D$3</c:f>
              <c:strCache>
                <c:ptCount val="1"/>
                <c:pt idx="0">
                  <c:v>Agree</c:v>
                </c:pt>
              </c:strCache>
            </c:strRef>
          </c:tx>
          <c:spPr>
            <a:solidFill>
              <a:schemeClr val="accent3"/>
            </a:solidFill>
            <a:ln>
              <a:noFill/>
            </a:ln>
            <a:effectLst/>
          </c:spPr>
          <c:invertIfNegative val="0"/>
          <c:cat>
            <c:strRef>
              <c:f>'Figure 3'!$A$4:$A$7</c:f>
              <c:strCache>
                <c:ptCount val="4"/>
                <c:pt idx="0">
                  <c:v>Cohort II</c:v>
                </c:pt>
                <c:pt idx="1">
                  <c:v>Cohort III</c:v>
                </c:pt>
                <c:pt idx="2">
                  <c:v>Cohort IV</c:v>
                </c:pt>
                <c:pt idx="3">
                  <c:v>Cohort V</c:v>
                </c:pt>
              </c:strCache>
            </c:strRef>
          </c:cat>
          <c:val>
            <c:numRef>
              <c:f>'Figure 3'!$D$4:$D$7</c:f>
              <c:numCache>
                <c:formatCode>0.00%</c:formatCode>
                <c:ptCount val="4"/>
                <c:pt idx="0">
                  <c:v>0.5</c:v>
                </c:pt>
                <c:pt idx="1">
                  <c:v>0.23080000000000001</c:v>
                </c:pt>
                <c:pt idx="2">
                  <c:v>0.38890000000000002</c:v>
                </c:pt>
                <c:pt idx="3">
                  <c:v>0.31580000000000003</c:v>
                </c:pt>
              </c:numCache>
            </c:numRef>
          </c:val>
          <c:extLst>
            <c:ext xmlns:c16="http://schemas.microsoft.com/office/drawing/2014/chart" uri="{C3380CC4-5D6E-409C-BE32-E72D297353CC}">
              <c16:uniqueId val="{00000002-356F-604B-A051-2B709BCFEF87}"/>
            </c:ext>
          </c:extLst>
        </c:ser>
        <c:ser>
          <c:idx val="3"/>
          <c:order val="3"/>
          <c:tx>
            <c:strRef>
              <c:f>'Figure 3'!$E$3</c:f>
              <c:strCache>
                <c:ptCount val="1"/>
                <c:pt idx="0">
                  <c:v>Strongly agree</c:v>
                </c:pt>
              </c:strCache>
            </c:strRef>
          </c:tx>
          <c:spPr>
            <a:solidFill>
              <a:schemeClr val="accent4"/>
            </a:solidFill>
            <a:ln>
              <a:noFill/>
            </a:ln>
            <a:effectLst/>
          </c:spPr>
          <c:invertIfNegative val="0"/>
          <c:cat>
            <c:strRef>
              <c:f>'Figure 3'!$A$4:$A$7</c:f>
              <c:strCache>
                <c:ptCount val="4"/>
                <c:pt idx="0">
                  <c:v>Cohort II</c:v>
                </c:pt>
                <c:pt idx="1">
                  <c:v>Cohort III</c:v>
                </c:pt>
                <c:pt idx="2">
                  <c:v>Cohort IV</c:v>
                </c:pt>
                <c:pt idx="3">
                  <c:v>Cohort V</c:v>
                </c:pt>
              </c:strCache>
            </c:strRef>
          </c:cat>
          <c:val>
            <c:numRef>
              <c:f>'Figure 3'!$E$4:$E$7</c:f>
              <c:numCache>
                <c:formatCode>0.00%</c:formatCode>
                <c:ptCount val="4"/>
                <c:pt idx="0">
                  <c:v>0.33329999999999999</c:v>
                </c:pt>
                <c:pt idx="1">
                  <c:v>0.69</c:v>
                </c:pt>
                <c:pt idx="2">
                  <c:v>0.61109999999999998</c:v>
                </c:pt>
                <c:pt idx="3">
                  <c:v>0.63159999999999994</c:v>
                </c:pt>
              </c:numCache>
            </c:numRef>
          </c:val>
          <c:extLst>
            <c:ext xmlns:c16="http://schemas.microsoft.com/office/drawing/2014/chart" uri="{C3380CC4-5D6E-409C-BE32-E72D297353CC}">
              <c16:uniqueId val="{00000003-356F-604B-A051-2B709BCFEF87}"/>
            </c:ext>
          </c:extLst>
        </c:ser>
        <c:dLbls>
          <c:showLegendKey val="0"/>
          <c:showVal val="0"/>
          <c:showCatName val="0"/>
          <c:showSerName val="0"/>
          <c:showPercent val="0"/>
          <c:showBubbleSize val="0"/>
        </c:dLbls>
        <c:gapWidth val="150"/>
        <c:overlap val="100"/>
        <c:axId val="838846159"/>
        <c:axId val="838828191"/>
      </c:barChart>
      <c:catAx>
        <c:axId val="838846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28191"/>
        <c:crosses val="autoZero"/>
        <c:auto val="1"/>
        <c:lblAlgn val="ctr"/>
        <c:lblOffset val="100"/>
        <c:noMultiLvlLbl val="0"/>
      </c:catAx>
      <c:valAx>
        <c:axId val="8388281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461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a:effectLst/>
              </a:rPr>
              <a:t>I know more about performance assessments and how they fit into my instruction because of my participation in the MiPAC cohort.</a:t>
            </a:r>
            <a:r>
              <a:rPr lang="en-US" sz="1400">
                <a:effectLst/>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stacked"/>
        <c:varyColors val="0"/>
        <c:ser>
          <c:idx val="0"/>
          <c:order val="0"/>
          <c:tx>
            <c:strRef>
              <c:f>'Figure 4'!$B$3</c:f>
              <c:strCache>
                <c:ptCount val="1"/>
                <c:pt idx="0">
                  <c:v>Strongly disagree</c:v>
                </c:pt>
              </c:strCache>
            </c:strRef>
          </c:tx>
          <c:spPr>
            <a:solidFill>
              <a:schemeClr val="accent1"/>
            </a:solidFill>
            <a:ln>
              <a:noFill/>
            </a:ln>
            <a:effectLst/>
          </c:spPr>
          <c:invertIfNegative val="0"/>
          <c:cat>
            <c:strRef>
              <c:f>'Figure 4'!$A$4:$A$7</c:f>
              <c:strCache>
                <c:ptCount val="4"/>
                <c:pt idx="0">
                  <c:v>Cohort II</c:v>
                </c:pt>
                <c:pt idx="1">
                  <c:v>Cohort III</c:v>
                </c:pt>
                <c:pt idx="2">
                  <c:v>Cohort IV</c:v>
                </c:pt>
                <c:pt idx="3">
                  <c:v>Cohort V</c:v>
                </c:pt>
              </c:strCache>
            </c:strRef>
          </c:cat>
          <c:val>
            <c:numRef>
              <c:f>'Figure 4'!$B$4:$B$7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44D6-7C45-9FF0-8A634738499C}"/>
            </c:ext>
          </c:extLst>
        </c:ser>
        <c:ser>
          <c:idx val="1"/>
          <c:order val="1"/>
          <c:tx>
            <c:strRef>
              <c:f>'Figure 4'!$C$3</c:f>
              <c:strCache>
                <c:ptCount val="1"/>
                <c:pt idx="0">
                  <c:v>Disagree</c:v>
                </c:pt>
              </c:strCache>
            </c:strRef>
          </c:tx>
          <c:spPr>
            <a:solidFill>
              <a:schemeClr val="accent2"/>
            </a:solidFill>
            <a:ln>
              <a:noFill/>
            </a:ln>
            <a:effectLst/>
          </c:spPr>
          <c:invertIfNegative val="0"/>
          <c:cat>
            <c:strRef>
              <c:f>'Figure 4'!$A$4:$A$7</c:f>
              <c:strCache>
                <c:ptCount val="4"/>
                <c:pt idx="0">
                  <c:v>Cohort II</c:v>
                </c:pt>
                <c:pt idx="1">
                  <c:v>Cohort III</c:v>
                </c:pt>
                <c:pt idx="2">
                  <c:v>Cohort IV</c:v>
                </c:pt>
                <c:pt idx="3">
                  <c:v>Cohort V</c:v>
                </c:pt>
              </c:strCache>
            </c:strRef>
          </c:cat>
          <c:val>
            <c:numRef>
              <c:f>'Figure 4'!$C$4:$C$7</c:f>
              <c:numCache>
                <c:formatCode>0.00%</c:formatCode>
                <c:ptCount val="4"/>
                <c:pt idx="0">
                  <c:v>0.16669999999999999</c:v>
                </c:pt>
                <c:pt idx="1">
                  <c:v>0.23080000000000001</c:v>
                </c:pt>
                <c:pt idx="2">
                  <c:v>0</c:v>
                </c:pt>
                <c:pt idx="3">
                  <c:v>5.2600000000000001E-2</c:v>
                </c:pt>
              </c:numCache>
            </c:numRef>
          </c:val>
          <c:extLst>
            <c:ext xmlns:c16="http://schemas.microsoft.com/office/drawing/2014/chart" uri="{C3380CC4-5D6E-409C-BE32-E72D297353CC}">
              <c16:uniqueId val="{00000001-44D6-7C45-9FF0-8A634738499C}"/>
            </c:ext>
          </c:extLst>
        </c:ser>
        <c:ser>
          <c:idx val="2"/>
          <c:order val="2"/>
          <c:tx>
            <c:strRef>
              <c:f>'Figure 4'!$D$3</c:f>
              <c:strCache>
                <c:ptCount val="1"/>
                <c:pt idx="0">
                  <c:v>Agree</c:v>
                </c:pt>
              </c:strCache>
            </c:strRef>
          </c:tx>
          <c:spPr>
            <a:solidFill>
              <a:schemeClr val="accent3"/>
            </a:solidFill>
            <a:ln>
              <a:noFill/>
            </a:ln>
            <a:effectLst/>
          </c:spPr>
          <c:invertIfNegative val="0"/>
          <c:cat>
            <c:strRef>
              <c:f>'Figure 4'!$A$4:$A$7</c:f>
              <c:strCache>
                <c:ptCount val="4"/>
                <c:pt idx="0">
                  <c:v>Cohort II</c:v>
                </c:pt>
                <c:pt idx="1">
                  <c:v>Cohort III</c:v>
                </c:pt>
                <c:pt idx="2">
                  <c:v>Cohort IV</c:v>
                </c:pt>
                <c:pt idx="3">
                  <c:v>Cohort V</c:v>
                </c:pt>
              </c:strCache>
            </c:strRef>
          </c:cat>
          <c:val>
            <c:numRef>
              <c:f>'Figure 4'!$D$4:$D$7</c:f>
              <c:numCache>
                <c:formatCode>0.00%</c:formatCode>
                <c:ptCount val="4"/>
                <c:pt idx="0">
                  <c:v>0.5</c:v>
                </c:pt>
                <c:pt idx="1">
                  <c:v>0.3846</c:v>
                </c:pt>
                <c:pt idx="2">
                  <c:v>0.36890000000000001</c:v>
                </c:pt>
                <c:pt idx="3">
                  <c:v>0.36840000000000012</c:v>
                </c:pt>
              </c:numCache>
            </c:numRef>
          </c:val>
          <c:extLst>
            <c:ext xmlns:c16="http://schemas.microsoft.com/office/drawing/2014/chart" uri="{C3380CC4-5D6E-409C-BE32-E72D297353CC}">
              <c16:uniqueId val="{00000002-44D6-7C45-9FF0-8A634738499C}"/>
            </c:ext>
          </c:extLst>
        </c:ser>
        <c:ser>
          <c:idx val="3"/>
          <c:order val="3"/>
          <c:tx>
            <c:strRef>
              <c:f>'Figure 4'!$E$3</c:f>
              <c:strCache>
                <c:ptCount val="1"/>
                <c:pt idx="0">
                  <c:v>Strongly agree</c:v>
                </c:pt>
              </c:strCache>
            </c:strRef>
          </c:tx>
          <c:spPr>
            <a:solidFill>
              <a:schemeClr val="accent4"/>
            </a:solidFill>
            <a:ln>
              <a:noFill/>
            </a:ln>
            <a:effectLst/>
          </c:spPr>
          <c:invertIfNegative val="0"/>
          <c:cat>
            <c:strRef>
              <c:f>'Figure 4'!$A$4:$A$7</c:f>
              <c:strCache>
                <c:ptCount val="4"/>
                <c:pt idx="0">
                  <c:v>Cohort II</c:v>
                </c:pt>
                <c:pt idx="1">
                  <c:v>Cohort III</c:v>
                </c:pt>
                <c:pt idx="2">
                  <c:v>Cohort IV</c:v>
                </c:pt>
                <c:pt idx="3">
                  <c:v>Cohort V</c:v>
                </c:pt>
              </c:strCache>
            </c:strRef>
          </c:cat>
          <c:val>
            <c:numRef>
              <c:f>'Figure 4'!$E$4:$E$7</c:f>
              <c:numCache>
                <c:formatCode>0.00%</c:formatCode>
                <c:ptCount val="4"/>
                <c:pt idx="0">
                  <c:v>0.33329999999999999</c:v>
                </c:pt>
                <c:pt idx="1">
                  <c:v>0.3846</c:v>
                </c:pt>
                <c:pt idx="2">
                  <c:v>0.61109999999999998</c:v>
                </c:pt>
                <c:pt idx="3">
                  <c:v>0.57889999999999997</c:v>
                </c:pt>
              </c:numCache>
            </c:numRef>
          </c:val>
          <c:extLst>
            <c:ext xmlns:c16="http://schemas.microsoft.com/office/drawing/2014/chart" uri="{C3380CC4-5D6E-409C-BE32-E72D297353CC}">
              <c16:uniqueId val="{00000003-44D6-7C45-9FF0-8A634738499C}"/>
            </c:ext>
          </c:extLst>
        </c:ser>
        <c:ser>
          <c:idx val="4"/>
          <c:order val="4"/>
          <c:spPr>
            <a:solidFill>
              <a:schemeClr val="accent5"/>
            </a:solidFill>
            <a:ln>
              <a:noFill/>
            </a:ln>
            <a:effectLst/>
          </c:spPr>
          <c:invertIfNegative val="0"/>
          <c:cat>
            <c:strRef>
              <c:f>'Figure 4'!$A$4:$A$7</c:f>
              <c:strCache>
                <c:ptCount val="4"/>
                <c:pt idx="0">
                  <c:v>Cohort II</c:v>
                </c:pt>
                <c:pt idx="1">
                  <c:v>Cohort III</c:v>
                </c:pt>
                <c:pt idx="2">
                  <c:v>Cohort IV</c:v>
                </c:pt>
                <c:pt idx="3">
                  <c:v>Cohort V</c:v>
                </c:pt>
              </c:strCache>
            </c:strRef>
          </c:cat>
          <c:val>
            <c:numRef>
              <c:f>'/Users/lanejoh3/Downloads/[MiPAC Cohort V Exit Survey-14.xlsx]Question 7'!$A$2</c:f>
              <c:numCache>
                <c:formatCode>General</c:formatCode>
                <c:ptCount val="1"/>
                <c:pt idx="0">
                  <c:v>0</c:v>
                </c:pt>
              </c:numCache>
            </c:numRef>
          </c:val>
          <c:extLst>
            <c:ext xmlns:c16="http://schemas.microsoft.com/office/drawing/2014/chart" uri="{C3380CC4-5D6E-409C-BE32-E72D297353CC}">
              <c16:uniqueId val="{00000004-44D6-7C45-9FF0-8A634738499C}"/>
            </c:ext>
          </c:extLst>
        </c:ser>
        <c:dLbls>
          <c:showLegendKey val="0"/>
          <c:showVal val="0"/>
          <c:showCatName val="0"/>
          <c:showSerName val="0"/>
          <c:showPercent val="0"/>
          <c:showBubbleSize val="0"/>
        </c:dLbls>
        <c:gapWidth val="150"/>
        <c:overlap val="100"/>
        <c:axId val="838846159"/>
        <c:axId val="838828191"/>
      </c:barChart>
      <c:catAx>
        <c:axId val="838846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28191"/>
        <c:crosses val="autoZero"/>
        <c:auto val="1"/>
        <c:lblAlgn val="ctr"/>
        <c:lblOffset val="100"/>
        <c:noMultiLvlLbl val="0"/>
      </c:catAx>
      <c:valAx>
        <c:axId val="8388281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46159"/>
        <c:crosses val="autoZero"/>
        <c:crossBetween val="between"/>
      </c:val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ysClr val="windowText" lastClr="000000">
                    <a:lumMod val="65000"/>
                    <a:lumOff val="35000"/>
                  </a:sysClr>
                </a:solidFill>
              </a:rPr>
              <a:t>I know more about administering performance assessments and using student results and teacher observation to revise and improve the performance assessment</a:t>
            </a: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stacked"/>
        <c:varyColors val="0"/>
        <c:ser>
          <c:idx val="0"/>
          <c:order val="0"/>
          <c:tx>
            <c:strRef>
              <c:f>'Figure 5'!$B$3</c:f>
              <c:strCache>
                <c:ptCount val="1"/>
                <c:pt idx="0">
                  <c:v>Strongly disagree</c:v>
                </c:pt>
              </c:strCache>
            </c:strRef>
          </c:tx>
          <c:spPr>
            <a:solidFill>
              <a:schemeClr val="accent1"/>
            </a:solidFill>
            <a:ln>
              <a:noFill/>
            </a:ln>
            <a:effectLst/>
          </c:spPr>
          <c:invertIfNegative val="0"/>
          <c:cat>
            <c:strRef>
              <c:f>'Figure 5'!$A$4:$A$7</c:f>
              <c:strCache>
                <c:ptCount val="4"/>
                <c:pt idx="0">
                  <c:v>Cohort II</c:v>
                </c:pt>
                <c:pt idx="1">
                  <c:v>Cohort III</c:v>
                </c:pt>
                <c:pt idx="2">
                  <c:v>Cohort IV</c:v>
                </c:pt>
                <c:pt idx="3">
                  <c:v>Cohort V</c:v>
                </c:pt>
              </c:strCache>
            </c:strRef>
          </c:cat>
          <c:val>
            <c:numRef>
              <c:f>'Figure 5'!$B$4:$B$7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413A-7F4D-B74D-6596A7F90EA6}"/>
            </c:ext>
          </c:extLst>
        </c:ser>
        <c:ser>
          <c:idx val="1"/>
          <c:order val="1"/>
          <c:tx>
            <c:strRef>
              <c:f>'Figure 5'!$C$3</c:f>
              <c:strCache>
                <c:ptCount val="1"/>
                <c:pt idx="0">
                  <c:v>Disagree</c:v>
                </c:pt>
              </c:strCache>
            </c:strRef>
          </c:tx>
          <c:spPr>
            <a:solidFill>
              <a:schemeClr val="accent2"/>
            </a:solidFill>
            <a:ln>
              <a:noFill/>
            </a:ln>
            <a:effectLst/>
          </c:spPr>
          <c:invertIfNegative val="0"/>
          <c:cat>
            <c:strRef>
              <c:f>'Figure 5'!$A$4:$A$7</c:f>
              <c:strCache>
                <c:ptCount val="4"/>
                <c:pt idx="0">
                  <c:v>Cohort II</c:v>
                </c:pt>
                <c:pt idx="1">
                  <c:v>Cohort III</c:v>
                </c:pt>
                <c:pt idx="2">
                  <c:v>Cohort IV</c:v>
                </c:pt>
                <c:pt idx="3">
                  <c:v>Cohort V</c:v>
                </c:pt>
              </c:strCache>
            </c:strRef>
          </c:cat>
          <c:val>
            <c:numRef>
              <c:f>'Figure 5'!$C$4:$C$7</c:f>
              <c:numCache>
                <c:formatCode>0.00%</c:formatCode>
                <c:ptCount val="4"/>
                <c:pt idx="0">
                  <c:v>8.3299999999999999E-2</c:v>
                </c:pt>
                <c:pt idx="1">
                  <c:v>0.23080000000000001</c:v>
                </c:pt>
                <c:pt idx="2">
                  <c:v>5.5599999999999997E-2</c:v>
                </c:pt>
                <c:pt idx="3">
                  <c:v>5.2600000000000001E-2</c:v>
                </c:pt>
              </c:numCache>
            </c:numRef>
          </c:val>
          <c:extLst>
            <c:ext xmlns:c16="http://schemas.microsoft.com/office/drawing/2014/chart" uri="{C3380CC4-5D6E-409C-BE32-E72D297353CC}">
              <c16:uniqueId val="{00000001-413A-7F4D-B74D-6596A7F90EA6}"/>
            </c:ext>
          </c:extLst>
        </c:ser>
        <c:ser>
          <c:idx val="2"/>
          <c:order val="2"/>
          <c:tx>
            <c:strRef>
              <c:f>'Figure 5'!$D$3</c:f>
              <c:strCache>
                <c:ptCount val="1"/>
                <c:pt idx="0">
                  <c:v>Agree</c:v>
                </c:pt>
              </c:strCache>
            </c:strRef>
          </c:tx>
          <c:spPr>
            <a:solidFill>
              <a:schemeClr val="accent3"/>
            </a:solidFill>
            <a:ln>
              <a:noFill/>
            </a:ln>
            <a:effectLst/>
          </c:spPr>
          <c:invertIfNegative val="0"/>
          <c:cat>
            <c:strRef>
              <c:f>'Figure 5'!$A$4:$A$7</c:f>
              <c:strCache>
                <c:ptCount val="4"/>
                <c:pt idx="0">
                  <c:v>Cohort II</c:v>
                </c:pt>
                <c:pt idx="1">
                  <c:v>Cohort III</c:v>
                </c:pt>
                <c:pt idx="2">
                  <c:v>Cohort IV</c:v>
                </c:pt>
                <c:pt idx="3">
                  <c:v>Cohort V</c:v>
                </c:pt>
              </c:strCache>
            </c:strRef>
          </c:cat>
          <c:val>
            <c:numRef>
              <c:f>'Figure 5'!$D$4:$D$7</c:f>
              <c:numCache>
                <c:formatCode>0.00%</c:formatCode>
                <c:ptCount val="4"/>
                <c:pt idx="0">
                  <c:v>0.33329999999999999</c:v>
                </c:pt>
                <c:pt idx="1">
                  <c:v>0.46150000000000002</c:v>
                </c:pt>
                <c:pt idx="2">
                  <c:v>0.38890000000000002</c:v>
                </c:pt>
                <c:pt idx="3">
                  <c:v>0.47370000000000001</c:v>
                </c:pt>
              </c:numCache>
            </c:numRef>
          </c:val>
          <c:extLst>
            <c:ext xmlns:c16="http://schemas.microsoft.com/office/drawing/2014/chart" uri="{C3380CC4-5D6E-409C-BE32-E72D297353CC}">
              <c16:uniqueId val="{00000002-413A-7F4D-B74D-6596A7F90EA6}"/>
            </c:ext>
          </c:extLst>
        </c:ser>
        <c:ser>
          <c:idx val="3"/>
          <c:order val="3"/>
          <c:tx>
            <c:strRef>
              <c:f>'Figure 5'!$E$3</c:f>
              <c:strCache>
                <c:ptCount val="1"/>
                <c:pt idx="0">
                  <c:v>Strongly agree</c:v>
                </c:pt>
              </c:strCache>
            </c:strRef>
          </c:tx>
          <c:spPr>
            <a:solidFill>
              <a:schemeClr val="accent4"/>
            </a:solidFill>
            <a:ln>
              <a:noFill/>
            </a:ln>
            <a:effectLst/>
          </c:spPr>
          <c:invertIfNegative val="0"/>
          <c:cat>
            <c:strRef>
              <c:f>'Figure 5'!$A$4:$A$7</c:f>
              <c:strCache>
                <c:ptCount val="4"/>
                <c:pt idx="0">
                  <c:v>Cohort II</c:v>
                </c:pt>
                <c:pt idx="1">
                  <c:v>Cohort III</c:v>
                </c:pt>
                <c:pt idx="2">
                  <c:v>Cohort IV</c:v>
                </c:pt>
                <c:pt idx="3">
                  <c:v>Cohort V</c:v>
                </c:pt>
              </c:strCache>
            </c:strRef>
          </c:cat>
          <c:val>
            <c:numRef>
              <c:f>'Figure 5'!$E$4:$E$7</c:f>
              <c:numCache>
                <c:formatCode>0.00%</c:formatCode>
                <c:ptCount val="4"/>
                <c:pt idx="0">
                  <c:v>0.58330000000000004</c:v>
                </c:pt>
                <c:pt idx="1">
                  <c:v>0.30769999999999997</c:v>
                </c:pt>
                <c:pt idx="2">
                  <c:v>0.55559999999999998</c:v>
                </c:pt>
                <c:pt idx="3">
                  <c:v>0.47370000000000001</c:v>
                </c:pt>
              </c:numCache>
            </c:numRef>
          </c:val>
          <c:extLst>
            <c:ext xmlns:c16="http://schemas.microsoft.com/office/drawing/2014/chart" uri="{C3380CC4-5D6E-409C-BE32-E72D297353CC}">
              <c16:uniqueId val="{00000003-413A-7F4D-B74D-6596A7F90EA6}"/>
            </c:ext>
          </c:extLst>
        </c:ser>
        <c:ser>
          <c:idx val="4"/>
          <c:order val="4"/>
          <c:spPr>
            <a:solidFill>
              <a:schemeClr val="accent5"/>
            </a:solidFill>
            <a:ln>
              <a:noFill/>
            </a:ln>
            <a:effectLst/>
          </c:spPr>
          <c:invertIfNegative val="0"/>
          <c:cat>
            <c:strRef>
              <c:f>'Figure 5'!$A$4:$A$7</c:f>
              <c:strCache>
                <c:ptCount val="4"/>
                <c:pt idx="0">
                  <c:v>Cohort II</c:v>
                </c:pt>
                <c:pt idx="1">
                  <c:v>Cohort III</c:v>
                </c:pt>
                <c:pt idx="2">
                  <c:v>Cohort IV</c:v>
                </c:pt>
                <c:pt idx="3">
                  <c:v>Cohort V</c:v>
                </c:pt>
              </c:strCache>
            </c:strRef>
          </c:cat>
          <c:val>
            <c:numRef>
              <c:f>'/Users/lanejoh3/Downloads/[MiPAC Cohort V Exit Survey-14.xlsx]Question 7'!$A$2</c:f>
              <c:numCache>
                <c:formatCode>General</c:formatCode>
                <c:ptCount val="1"/>
                <c:pt idx="0">
                  <c:v>0</c:v>
                </c:pt>
              </c:numCache>
            </c:numRef>
          </c:val>
          <c:extLst>
            <c:ext xmlns:c16="http://schemas.microsoft.com/office/drawing/2014/chart" uri="{C3380CC4-5D6E-409C-BE32-E72D297353CC}">
              <c16:uniqueId val="{00000004-413A-7F4D-B74D-6596A7F90EA6}"/>
            </c:ext>
          </c:extLst>
        </c:ser>
        <c:dLbls>
          <c:showLegendKey val="0"/>
          <c:showVal val="0"/>
          <c:showCatName val="0"/>
          <c:showSerName val="0"/>
          <c:showPercent val="0"/>
          <c:showBubbleSize val="0"/>
        </c:dLbls>
        <c:gapWidth val="150"/>
        <c:overlap val="100"/>
        <c:axId val="838846159"/>
        <c:axId val="838828191"/>
      </c:barChart>
      <c:catAx>
        <c:axId val="838846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28191"/>
        <c:crosses val="autoZero"/>
        <c:auto val="1"/>
        <c:lblAlgn val="ctr"/>
        <c:lblOffset val="100"/>
        <c:noMultiLvlLbl val="0"/>
      </c:catAx>
      <c:valAx>
        <c:axId val="8388281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46159"/>
        <c:crosses val="autoZero"/>
        <c:crossBetween val="between"/>
      </c:val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ysClr val="windowText" lastClr="000000">
                    <a:lumMod val="65000"/>
                    <a:lumOff val="35000"/>
                  </a:sysClr>
                </a:solidFill>
              </a:rPr>
              <a:t>  My understanding of Competency-Based Education performance assessments has improved because of my participation in the MiPAC program.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stacked"/>
        <c:varyColors val="0"/>
        <c:ser>
          <c:idx val="0"/>
          <c:order val="0"/>
          <c:tx>
            <c:strRef>
              <c:f>'Figure 6'!$B$3</c:f>
              <c:strCache>
                <c:ptCount val="1"/>
                <c:pt idx="0">
                  <c:v>Strongly disagree</c:v>
                </c:pt>
              </c:strCache>
            </c:strRef>
          </c:tx>
          <c:spPr>
            <a:solidFill>
              <a:schemeClr val="accent1"/>
            </a:solidFill>
            <a:ln>
              <a:noFill/>
            </a:ln>
            <a:effectLst/>
          </c:spPr>
          <c:invertIfNegative val="0"/>
          <c:cat>
            <c:strRef>
              <c:f>'Figure 6'!$A$4:$A$7</c:f>
              <c:strCache>
                <c:ptCount val="4"/>
                <c:pt idx="0">
                  <c:v>Cohort II</c:v>
                </c:pt>
                <c:pt idx="1">
                  <c:v>Cohort III</c:v>
                </c:pt>
                <c:pt idx="2">
                  <c:v>Cohort IV</c:v>
                </c:pt>
                <c:pt idx="3">
                  <c:v>Cohort V</c:v>
                </c:pt>
              </c:strCache>
            </c:strRef>
          </c:cat>
          <c:val>
            <c:numRef>
              <c:f>'Figure 6'!$B$4:$B$7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4672-9C45-8029-2BFE1C261104}"/>
            </c:ext>
          </c:extLst>
        </c:ser>
        <c:ser>
          <c:idx val="1"/>
          <c:order val="1"/>
          <c:tx>
            <c:strRef>
              <c:f>'Figure 6'!$C$3</c:f>
              <c:strCache>
                <c:ptCount val="1"/>
                <c:pt idx="0">
                  <c:v>Disagree</c:v>
                </c:pt>
              </c:strCache>
            </c:strRef>
          </c:tx>
          <c:spPr>
            <a:solidFill>
              <a:schemeClr val="accent2"/>
            </a:solidFill>
            <a:ln>
              <a:noFill/>
            </a:ln>
            <a:effectLst/>
          </c:spPr>
          <c:invertIfNegative val="0"/>
          <c:cat>
            <c:strRef>
              <c:f>'Figure 6'!$A$4:$A$7</c:f>
              <c:strCache>
                <c:ptCount val="4"/>
                <c:pt idx="0">
                  <c:v>Cohort II</c:v>
                </c:pt>
                <c:pt idx="1">
                  <c:v>Cohort III</c:v>
                </c:pt>
                <c:pt idx="2">
                  <c:v>Cohort IV</c:v>
                </c:pt>
                <c:pt idx="3">
                  <c:v>Cohort V</c:v>
                </c:pt>
              </c:strCache>
            </c:strRef>
          </c:cat>
          <c:val>
            <c:numRef>
              <c:f>'Figure 6'!$C$4:$C$7</c:f>
              <c:numCache>
                <c:formatCode>0.00%</c:formatCode>
                <c:ptCount val="4"/>
                <c:pt idx="0">
                  <c:v>8.3299999999999999E-2</c:v>
                </c:pt>
                <c:pt idx="1">
                  <c:v>0.15379999999999999</c:v>
                </c:pt>
                <c:pt idx="2">
                  <c:v>0</c:v>
                </c:pt>
                <c:pt idx="3">
                  <c:v>0</c:v>
                </c:pt>
              </c:numCache>
            </c:numRef>
          </c:val>
          <c:extLst>
            <c:ext xmlns:c16="http://schemas.microsoft.com/office/drawing/2014/chart" uri="{C3380CC4-5D6E-409C-BE32-E72D297353CC}">
              <c16:uniqueId val="{00000001-4672-9C45-8029-2BFE1C261104}"/>
            </c:ext>
          </c:extLst>
        </c:ser>
        <c:ser>
          <c:idx val="2"/>
          <c:order val="2"/>
          <c:tx>
            <c:strRef>
              <c:f>'Figure 6'!$D$3</c:f>
              <c:strCache>
                <c:ptCount val="1"/>
                <c:pt idx="0">
                  <c:v>Agree</c:v>
                </c:pt>
              </c:strCache>
            </c:strRef>
          </c:tx>
          <c:spPr>
            <a:solidFill>
              <a:schemeClr val="accent3"/>
            </a:solidFill>
            <a:ln>
              <a:noFill/>
            </a:ln>
            <a:effectLst/>
          </c:spPr>
          <c:invertIfNegative val="0"/>
          <c:cat>
            <c:strRef>
              <c:f>'Figure 6'!$A$4:$A$7</c:f>
              <c:strCache>
                <c:ptCount val="4"/>
                <c:pt idx="0">
                  <c:v>Cohort II</c:v>
                </c:pt>
                <c:pt idx="1">
                  <c:v>Cohort III</c:v>
                </c:pt>
                <c:pt idx="2">
                  <c:v>Cohort IV</c:v>
                </c:pt>
                <c:pt idx="3">
                  <c:v>Cohort V</c:v>
                </c:pt>
              </c:strCache>
            </c:strRef>
          </c:cat>
          <c:val>
            <c:numRef>
              <c:f>'Figure 6'!$D$4:$D$7</c:f>
              <c:numCache>
                <c:formatCode>0.00%</c:formatCode>
                <c:ptCount val="4"/>
                <c:pt idx="0">
                  <c:v>0.41670000000000001</c:v>
                </c:pt>
                <c:pt idx="1">
                  <c:v>0.46150000000000002</c:v>
                </c:pt>
                <c:pt idx="2">
                  <c:v>0.27779999999999999</c:v>
                </c:pt>
                <c:pt idx="3">
                  <c:v>0.42109999999999997</c:v>
                </c:pt>
              </c:numCache>
            </c:numRef>
          </c:val>
          <c:extLst>
            <c:ext xmlns:c16="http://schemas.microsoft.com/office/drawing/2014/chart" uri="{C3380CC4-5D6E-409C-BE32-E72D297353CC}">
              <c16:uniqueId val="{00000002-4672-9C45-8029-2BFE1C261104}"/>
            </c:ext>
          </c:extLst>
        </c:ser>
        <c:ser>
          <c:idx val="3"/>
          <c:order val="3"/>
          <c:tx>
            <c:strRef>
              <c:f>'Figure 6'!$E$3</c:f>
              <c:strCache>
                <c:ptCount val="1"/>
                <c:pt idx="0">
                  <c:v>Strongly agree</c:v>
                </c:pt>
              </c:strCache>
            </c:strRef>
          </c:tx>
          <c:spPr>
            <a:solidFill>
              <a:schemeClr val="accent4"/>
            </a:solidFill>
            <a:ln>
              <a:noFill/>
            </a:ln>
            <a:effectLst/>
          </c:spPr>
          <c:invertIfNegative val="0"/>
          <c:cat>
            <c:strRef>
              <c:f>'Figure 6'!$A$4:$A$7</c:f>
              <c:strCache>
                <c:ptCount val="4"/>
                <c:pt idx="0">
                  <c:v>Cohort II</c:v>
                </c:pt>
                <c:pt idx="1">
                  <c:v>Cohort III</c:v>
                </c:pt>
                <c:pt idx="2">
                  <c:v>Cohort IV</c:v>
                </c:pt>
                <c:pt idx="3">
                  <c:v>Cohort V</c:v>
                </c:pt>
              </c:strCache>
            </c:strRef>
          </c:cat>
          <c:val>
            <c:numRef>
              <c:f>'Figure 6'!$E$4:$E$7</c:f>
              <c:numCache>
                <c:formatCode>0.00%</c:formatCode>
                <c:ptCount val="4"/>
                <c:pt idx="0">
                  <c:v>0.5</c:v>
                </c:pt>
                <c:pt idx="1">
                  <c:v>0.38469999999999999</c:v>
                </c:pt>
                <c:pt idx="2">
                  <c:v>0.72219999999999995</c:v>
                </c:pt>
                <c:pt idx="3">
                  <c:v>0.57889999999999997</c:v>
                </c:pt>
              </c:numCache>
            </c:numRef>
          </c:val>
          <c:extLst>
            <c:ext xmlns:c16="http://schemas.microsoft.com/office/drawing/2014/chart" uri="{C3380CC4-5D6E-409C-BE32-E72D297353CC}">
              <c16:uniqueId val="{00000003-4672-9C45-8029-2BFE1C261104}"/>
            </c:ext>
          </c:extLst>
        </c:ser>
        <c:ser>
          <c:idx val="4"/>
          <c:order val="4"/>
          <c:spPr>
            <a:solidFill>
              <a:schemeClr val="accent5"/>
            </a:solidFill>
            <a:ln>
              <a:noFill/>
            </a:ln>
            <a:effectLst/>
          </c:spPr>
          <c:invertIfNegative val="0"/>
          <c:cat>
            <c:strRef>
              <c:f>'Figure 6'!$A$4:$A$7</c:f>
              <c:strCache>
                <c:ptCount val="4"/>
                <c:pt idx="0">
                  <c:v>Cohort II</c:v>
                </c:pt>
                <c:pt idx="1">
                  <c:v>Cohort III</c:v>
                </c:pt>
                <c:pt idx="2">
                  <c:v>Cohort IV</c:v>
                </c:pt>
                <c:pt idx="3">
                  <c:v>Cohort V</c:v>
                </c:pt>
              </c:strCache>
            </c:strRef>
          </c:cat>
          <c:val>
            <c:numRef>
              <c:f>'/Users/lanejoh3/Downloads/[MiPAC Cohort V Exit Survey-14.xlsx]Question 7'!$A$2</c:f>
              <c:numCache>
                <c:formatCode>General</c:formatCode>
                <c:ptCount val="1"/>
                <c:pt idx="0">
                  <c:v>0</c:v>
                </c:pt>
              </c:numCache>
            </c:numRef>
          </c:val>
          <c:extLst>
            <c:ext xmlns:c16="http://schemas.microsoft.com/office/drawing/2014/chart" uri="{C3380CC4-5D6E-409C-BE32-E72D297353CC}">
              <c16:uniqueId val="{00000004-4672-9C45-8029-2BFE1C261104}"/>
            </c:ext>
          </c:extLst>
        </c:ser>
        <c:dLbls>
          <c:showLegendKey val="0"/>
          <c:showVal val="0"/>
          <c:showCatName val="0"/>
          <c:showSerName val="0"/>
          <c:showPercent val="0"/>
          <c:showBubbleSize val="0"/>
        </c:dLbls>
        <c:gapWidth val="150"/>
        <c:overlap val="100"/>
        <c:axId val="838846159"/>
        <c:axId val="838828191"/>
      </c:barChart>
      <c:catAx>
        <c:axId val="838846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28191"/>
        <c:crosses val="autoZero"/>
        <c:auto val="1"/>
        <c:lblAlgn val="ctr"/>
        <c:lblOffset val="100"/>
        <c:noMultiLvlLbl val="0"/>
      </c:catAx>
      <c:valAx>
        <c:axId val="8388281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46159"/>
        <c:crosses val="autoZero"/>
        <c:crossBetween val="between"/>
      </c:val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ysClr val="windowText" lastClr="000000">
                    <a:lumMod val="65000"/>
                    <a:lumOff val="35000"/>
                  </a:sysClr>
                </a:solidFill>
              </a:rPr>
              <a:t>   I enjoyed working collaboratively with my team to develop a performance assessment.</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stacked"/>
        <c:varyColors val="0"/>
        <c:ser>
          <c:idx val="0"/>
          <c:order val="0"/>
          <c:tx>
            <c:strRef>
              <c:f>'Figure 7'!$B$3</c:f>
              <c:strCache>
                <c:ptCount val="1"/>
                <c:pt idx="0">
                  <c:v>Strongly disagree</c:v>
                </c:pt>
              </c:strCache>
            </c:strRef>
          </c:tx>
          <c:spPr>
            <a:solidFill>
              <a:schemeClr val="accent1"/>
            </a:solidFill>
            <a:ln>
              <a:noFill/>
            </a:ln>
            <a:effectLst/>
          </c:spPr>
          <c:invertIfNegative val="0"/>
          <c:cat>
            <c:strRef>
              <c:f>'Figure 7'!$A$4:$A$7</c:f>
              <c:strCache>
                <c:ptCount val="4"/>
                <c:pt idx="0">
                  <c:v>Cohort II</c:v>
                </c:pt>
                <c:pt idx="1">
                  <c:v>Cohort III</c:v>
                </c:pt>
                <c:pt idx="2">
                  <c:v>Cohort IV</c:v>
                </c:pt>
                <c:pt idx="3">
                  <c:v>Cohort V</c:v>
                </c:pt>
              </c:strCache>
            </c:strRef>
          </c:cat>
          <c:val>
            <c:numRef>
              <c:f>'Figure 7'!$B$4:$B$7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EB19-D349-9DFA-71D48B1DE05D}"/>
            </c:ext>
          </c:extLst>
        </c:ser>
        <c:ser>
          <c:idx val="1"/>
          <c:order val="1"/>
          <c:tx>
            <c:strRef>
              <c:f>'Figure 7'!$C$3</c:f>
              <c:strCache>
                <c:ptCount val="1"/>
                <c:pt idx="0">
                  <c:v>Disagree</c:v>
                </c:pt>
              </c:strCache>
            </c:strRef>
          </c:tx>
          <c:spPr>
            <a:solidFill>
              <a:schemeClr val="accent2"/>
            </a:solidFill>
            <a:ln>
              <a:noFill/>
            </a:ln>
            <a:effectLst/>
          </c:spPr>
          <c:invertIfNegative val="0"/>
          <c:cat>
            <c:strRef>
              <c:f>'Figure 7'!$A$4:$A$7</c:f>
              <c:strCache>
                <c:ptCount val="4"/>
                <c:pt idx="0">
                  <c:v>Cohort II</c:v>
                </c:pt>
                <c:pt idx="1">
                  <c:v>Cohort III</c:v>
                </c:pt>
                <c:pt idx="2">
                  <c:v>Cohort IV</c:v>
                </c:pt>
                <c:pt idx="3">
                  <c:v>Cohort V</c:v>
                </c:pt>
              </c:strCache>
            </c:strRef>
          </c:cat>
          <c:val>
            <c:numRef>
              <c:f>'Figure 7'!$C$4:$C$7</c:f>
              <c:numCache>
                <c:formatCode>0.00%</c:formatCode>
                <c:ptCount val="4"/>
                <c:pt idx="0">
                  <c:v>0</c:v>
                </c:pt>
                <c:pt idx="1">
                  <c:v>7.6899999999999996E-2</c:v>
                </c:pt>
                <c:pt idx="2">
                  <c:v>0</c:v>
                </c:pt>
                <c:pt idx="3">
                  <c:v>0</c:v>
                </c:pt>
              </c:numCache>
            </c:numRef>
          </c:val>
          <c:extLst>
            <c:ext xmlns:c16="http://schemas.microsoft.com/office/drawing/2014/chart" uri="{C3380CC4-5D6E-409C-BE32-E72D297353CC}">
              <c16:uniqueId val="{00000001-EB19-D349-9DFA-71D48B1DE05D}"/>
            </c:ext>
          </c:extLst>
        </c:ser>
        <c:ser>
          <c:idx val="2"/>
          <c:order val="2"/>
          <c:tx>
            <c:strRef>
              <c:f>'Figure 7'!$D$3</c:f>
              <c:strCache>
                <c:ptCount val="1"/>
                <c:pt idx="0">
                  <c:v>Agree</c:v>
                </c:pt>
              </c:strCache>
            </c:strRef>
          </c:tx>
          <c:spPr>
            <a:solidFill>
              <a:schemeClr val="accent3"/>
            </a:solidFill>
            <a:ln>
              <a:noFill/>
            </a:ln>
            <a:effectLst/>
          </c:spPr>
          <c:invertIfNegative val="0"/>
          <c:cat>
            <c:strRef>
              <c:f>'Figure 7'!$A$4:$A$7</c:f>
              <c:strCache>
                <c:ptCount val="4"/>
                <c:pt idx="0">
                  <c:v>Cohort II</c:v>
                </c:pt>
                <c:pt idx="1">
                  <c:v>Cohort III</c:v>
                </c:pt>
                <c:pt idx="2">
                  <c:v>Cohort IV</c:v>
                </c:pt>
                <c:pt idx="3">
                  <c:v>Cohort V</c:v>
                </c:pt>
              </c:strCache>
            </c:strRef>
          </c:cat>
          <c:val>
            <c:numRef>
              <c:f>'Figure 7'!$D$4:$D$7</c:f>
              <c:numCache>
                <c:formatCode>0.00%</c:formatCode>
                <c:ptCount val="4"/>
                <c:pt idx="0">
                  <c:v>0.25</c:v>
                </c:pt>
                <c:pt idx="1">
                  <c:v>0.3846</c:v>
                </c:pt>
                <c:pt idx="2">
                  <c:v>0.27779999999999999</c:v>
                </c:pt>
                <c:pt idx="3">
                  <c:v>0.21049999999999999</c:v>
                </c:pt>
              </c:numCache>
            </c:numRef>
          </c:val>
          <c:extLst>
            <c:ext xmlns:c16="http://schemas.microsoft.com/office/drawing/2014/chart" uri="{C3380CC4-5D6E-409C-BE32-E72D297353CC}">
              <c16:uniqueId val="{00000002-EB19-D349-9DFA-71D48B1DE05D}"/>
            </c:ext>
          </c:extLst>
        </c:ser>
        <c:ser>
          <c:idx val="3"/>
          <c:order val="3"/>
          <c:tx>
            <c:strRef>
              <c:f>'Figure 7'!$E$3</c:f>
              <c:strCache>
                <c:ptCount val="1"/>
                <c:pt idx="0">
                  <c:v>Strongly agree</c:v>
                </c:pt>
              </c:strCache>
            </c:strRef>
          </c:tx>
          <c:spPr>
            <a:solidFill>
              <a:schemeClr val="accent4"/>
            </a:solidFill>
            <a:ln>
              <a:noFill/>
            </a:ln>
            <a:effectLst/>
          </c:spPr>
          <c:invertIfNegative val="0"/>
          <c:cat>
            <c:strRef>
              <c:f>'Figure 7'!$A$4:$A$7</c:f>
              <c:strCache>
                <c:ptCount val="4"/>
                <c:pt idx="0">
                  <c:v>Cohort II</c:v>
                </c:pt>
                <c:pt idx="1">
                  <c:v>Cohort III</c:v>
                </c:pt>
                <c:pt idx="2">
                  <c:v>Cohort IV</c:v>
                </c:pt>
                <c:pt idx="3">
                  <c:v>Cohort V</c:v>
                </c:pt>
              </c:strCache>
            </c:strRef>
          </c:cat>
          <c:val>
            <c:numRef>
              <c:f>'Figure 7'!$E$4:$E$7</c:f>
              <c:numCache>
                <c:formatCode>0.00%</c:formatCode>
                <c:ptCount val="4"/>
                <c:pt idx="0">
                  <c:v>0.75</c:v>
                </c:pt>
                <c:pt idx="1">
                  <c:v>0.53849999999999998</c:v>
                </c:pt>
                <c:pt idx="2">
                  <c:v>0.72219999999999995</c:v>
                </c:pt>
                <c:pt idx="3">
                  <c:v>0.78949999999999998</c:v>
                </c:pt>
              </c:numCache>
            </c:numRef>
          </c:val>
          <c:extLst>
            <c:ext xmlns:c16="http://schemas.microsoft.com/office/drawing/2014/chart" uri="{C3380CC4-5D6E-409C-BE32-E72D297353CC}">
              <c16:uniqueId val="{00000003-EB19-D349-9DFA-71D48B1DE05D}"/>
            </c:ext>
          </c:extLst>
        </c:ser>
        <c:ser>
          <c:idx val="4"/>
          <c:order val="4"/>
          <c:spPr>
            <a:solidFill>
              <a:schemeClr val="accent5"/>
            </a:solidFill>
            <a:ln>
              <a:noFill/>
            </a:ln>
            <a:effectLst/>
          </c:spPr>
          <c:invertIfNegative val="0"/>
          <c:cat>
            <c:strRef>
              <c:f>'Figure 7'!$A$4:$A$7</c:f>
              <c:strCache>
                <c:ptCount val="4"/>
                <c:pt idx="0">
                  <c:v>Cohort II</c:v>
                </c:pt>
                <c:pt idx="1">
                  <c:v>Cohort III</c:v>
                </c:pt>
                <c:pt idx="2">
                  <c:v>Cohort IV</c:v>
                </c:pt>
                <c:pt idx="3">
                  <c:v>Cohort V</c:v>
                </c:pt>
              </c:strCache>
            </c:strRef>
          </c:cat>
          <c:val>
            <c:numRef>
              <c:f>'/Users/lanejoh3/Downloads/[MiPAC Cohort V Exit Survey-14.xlsx]Question 7'!$A$2</c:f>
              <c:numCache>
                <c:formatCode>General</c:formatCode>
                <c:ptCount val="1"/>
                <c:pt idx="0">
                  <c:v>0</c:v>
                </c:pt>
              </c:numCache>
            </c:numRef>
          </c:val>
          <c:extLst>
            <c:ext xmlns:c16="http://schemas.microsoft.com/office/drawing/2014/chart" uri="{C3380CC4-5D6E-409C-BE32-E72D297353CC}">
              <c16:uniqueId val="{00000004-EB19-D349-9DFA-71D48B1DE05D}"/>
            </c:ext>
          </c:extLst>
        </c:ser>
        <c:dLbls>
          <c:showLegendKey val="0"/>
          <c:showVal val="0"/>
          <c:showCatName val="0"/>
          <c:showSerName val="0"/>
          <c:showPercent val="0"/>
          <c:showBubbleSize val="0"/>
        </c:dLbls>
        <c:gapWidth val="150"/>
        <c:overlap val="100"/>
        <c:axId val="838846159"/>
        <c:axId val="838828191"/>
      </c:barChart>
      <c:catAx>
        <c:axId val="838846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28191"/>
        <c:crosses val="autoZero"/>
        <c:auto val="1"/>
        <c:lblAlgn val="ctr"/>
        <c:lblOffset val="100"/>
        <c:noMultiLvlLbl val="0"/>
      </c:catAx>
      <c:valAx>
        <c:axId val="8388281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846159"/>
        <c:crosses val="autoZero"/>
        <c:crossBetween val="between"/>
      </c:val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0" i="0" u="none" strike="noStrike" kern="1200" spc="0" baseline="0">
                <a:solidFill>
                  <a:sysClr val="windowText" lastClr="000000">
                    <a:lumMod val="65000"/>
                    <a:lumOff val="35000"/>
                  </a:sysClr>
                </a:solidFill>
              </a:rPr>
              <a:t>Organizing curriculum and instruction to focus on a broad and holistic set of student success outcomes for college, career, and lifelong learning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1'!$B$3</c:f>
              <c:strCache>
                <c:ptCount val="1"/>
                <c:pt idx="0">
                  <c:v>Not important</c:v>
                </c:pt>
              </c:strCache>
            </c:strRef>
          </c:tx>
          <c:spPr>
            <a:solidFill>
              <a:schemeClr val="accent1"/>
            </a:solidFill>
            <a:ln>
              <a:noFill/>
            </a:ln>
            <a:effectLst/>
          </c:spPr>
          <c:invertIfNegative val="0"/>
          <c:cat>
            <c:strRef>
              <c:f>'Component 1'!$A$4:$A$7</c:f>
              <c:strCache>
                <c:ptCount val="4"/>
                <c:pt idx="0">
                  <c:v>Cohort V</c:v>
                </c:pt>
                <c:pt idx="1">
                  <c:v>Cohort IV</c:v>
                </c:pt>
                <c:pt idx="2">
                  <c:v>Cohort III</c:v>
                </c:pt>
                <c:pt idx="3">
                  <c:v>Cohort II</c:v>
                </c:pt>
              </c:strCache>
            </c:strRef>
          </c:cat>
          <c:val>
            <c:numRef>
              <c:f>'Component 1'!$B$4:$B$7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F8D0-0D46-B308-DF8FEFBF3AB3}"/>
            </c:ext>
          </c:extLst>
        </c:ser>
        <c:ser>
          <c:idx val="1"/>
          <c:order val="1"/>
          <c:tx>
            <c:strRef>
              <c:f>'Component 1'!$C$3</c:f>
              <c:strCache>
                <c:ptCount val="1"/>
                <c:pt idx="0">
                  <c:v>Somewhat important</c:v>
                </c:pt>
              </c:strCache>
            </c:strRef>
          </c:tx>
          <c:spPr>
            <a:solidFill>
              <a:schemeClr val="accent2"/>
            </a:solidFill>
            <a:ln>
              <a:noFill/>
            </a:ln>
            <a:effectLst/>
          </c:spPr>
          <c:invertIfNegative val="0"/>
          <c:cat>
            <c:strRef>
              <c:f>'Component 1'!$A$4:$A$7</c:f>
              <c:strCache>
                <c:ptCount val="4"/>
                <c:pt idx="0">
                  <c:v>Cohort V</c:v>
                </c:pt>
                <c:pt idx="1">
                  <c:v>Cohort IV</c:v>
                </c:pt>
                <c:pt idx="2">
                  <c:v>Cohort III</c:v>
                </c:pt>
                <c:pt idx="3">
                  <c:v>Cohort II</c:v>
                </c:pt>
              </c:strCache>
            </c:strRef>
          </c:cat>
          <c:val>
            <c:numRef>
              <c:f>'Component 1'!$C$4:$C$7</c:f>
              <c:numCache>
                <c:formatCode>0.00%</c:formatCode>
                <c:ptCount val="4"/>
                <c:pt idx="0">
                  <c:v>5.5599999999999997E-2</c:v>
                </c:pt>
                <c:pt idx="1">
                  <c:v>5.5599999999999997E-2</c:v>
                </c:pt>
                <c:pt idx="2">
                  <c:v>7.1399999999999991E-2</c:v>
                </c:pt>
                <c:pt idx="3">
                  <c:v>0</c:v>
                </c:pt>
              </c:numCache>
            </c:numRef>
          </c:val>
          <c:extLst>
            <c:ext xmlns:c16="http://schemas.microsoft.com/office/drawing/2014/chart" uri="{C3380CC4-5D6E-409C-BE32-E72D297353CC}">
              <c16:uniqueId val="{00000001-F8D0-0D46-B308-DF8FEFBF3AB3}"/>
            </c:ext>
          </c:extLst>
        </c:ser>
        <c:ser>
          <c:idx val="2"/>
          <c:order val="2"/>
          <c:tx>
            <c:strRef>
              <c:f>'Component 1'!$D$3</c:f>
              <c:strCache>
                <c:ptCount val="1"/>
                <c:pt idx="0">
                  <c:v>Important</c:v>
                </c:pt>
              </c:strCache>
            </c:strRef>
          </c:tx>
          <c:spPr>
            <a:solidFill>
              <a:schemeClr val="accent3"/>
            </a:solidFill>
            <a:ln>
              <a:noFill/>
            </a:ln>
            <a:effectLst/>
          </c:spPr>
          <c:invertIfNegative val="0"/>
          <c:cat>
            <c:strRef>
              <c:f>'Component 1'!$A$4:$A$7</c:f>
              <c:strCache>
                <c:ptCount val="4"/>
                <c:pt idx="0">
                  <c:v>Cohort V</c:v>
                </c:pt>
                <c:pt idx="1">
                  <c:v>Cohort IV</c:v>
                </c:pt>
                <c:pt idx="2">
                  <c:v>Cohort III</c:v>
                </c:pt>
                <c:pt idx="3">
                  <c:v>Cohort II</c:v>
                </c:pt>
              </c:strCache>
            </c:strRef>
          </c:cat>
          <c:val>
            <c:numRef>
              <c:f>'Component 1'!$D$4:$D$7</c:f>
              <c:numCache>
                <c:formatCode>0.00%</c:formatCode>
                <c:ptCount val="4"/>
                <c:pt idx="0">
                  <c:v>0.38890000000000002</c:v>
                </c:pt>
                <c:pt idx="1">
                  <c:v>0.38890000000000002</c:v>
                </c:pt>
                <c:pt idx="2">
                  <c:v>0.28570000000000001</c:v>
                </c:pt>
                <c:pt idx="3">
                  <c:v>0.30769999999999997</c:v>
                </c:pt>
              </c:numCache>
            </c:numRef>
          </c:val>
          <c:extLst>
            <c:ext xmlns:c16="http://schemas.microsoft.com/office/drawing/2014/chart" uri="{C3380CC4-5D6E-409C-BE32-E72D297353CC}">
              <c16:uniqueId val="{00000002-F8D0-0D46-B308-DF8FEFBF3AB3}"/>
            </c:ext>
          </c:extLst>
        </c:ser>
        <c:ser>
          <c:idx val="3"/>
          <c:order val="3"/>
          <c:tx>
            <c:strRef>
              <c:f>'Component 1'!$E$3</c:f>
              <c:strCache>
                <c:ptCount val="1"/>
                <c:pt idx="0">
                  <c:v>Very important</c:v>
                </c:pt>
              </c:strCache>
            </c:strRef>
          </c:tx>
          <c:spPr>
            <a:solidFill>
              <a:schemeClr val="accent4"/>
            </a:solidFill>
            <a:ln>
              <a:noFill/>
            </a:ln>
            <a:effectLst/>
          </c:spPr>
          <c:invertIfNegative val="0"/>
          <c:cat>
            <c:strRef>
              <c:f>'Component 1'!$A$4:$A$7</c:f>
              <c:strCache>
                <c:ptCount val="4"/>
                <c:pt idx="0">
                  <c:v>Cohort V</c:v>
                </c:pt>
                <c:pt idx="1">
                  <c:v>Cohort IV</c:v>
                </c:pt>
                <c:pt idx="2">
                  <c:v>Cohort III</c:v>
                </c:pt>
                <c:pt idx="3">
                  <c:v>Cohort II</c:v>
                </c:pt>
              </c:strCache>
            </c:strRef>
          </c:cat>
          <c:val>
            <c:numRef>
              <c:f>'Component 1'!$E$4:$E$7</c:f>
              <c:numCache>
                <c:formatCode>0.00%</c:formatCode>
                <c:ptCount val="4"/>
                <c:pt idx="0">
                  <c:v>0.55559999999999998</c:v>
                </c:pt>
                <c:pt idx="1">
                  <c:v>0.55559999999999998</c:v>
                </c:pt>
                <c:pt idx="2">
                  <c:v>0.64290000000000003</c:v>
                </c:pt>
                <c:pt idx="3">
                  <c:v>0.69230000000000003</c:v>
                </c:pt>
              </c:numCache>
            </c:numRef>
          </c:val>
          <c:extLst>
            <c:ext xmlns:c16="http://schemas.microsoft.com/office/drawing/2014/chart" uri="{C3380CC4-5D6E-409C-BE32-E72D297353CC}">
              <c16:uniqueId val="{00000003-F8D0-0D46-B308-DF8FEFBF3AB3}"/>
            </c:ext>
          </c:extLst>
        </c:ser>
        <c:dLbls>
          <c:showLegendKey val="0"/>
          <c:showVal val="0"/>
          <c:showCatName val="0"/>
          <c:showSerName val="0"/>
          <c:showPercent val="0"/>
          <c:showBubbleSize val="0"/>
        </c:dLbls>
        <c:gapWidth val="150"/>
        <c:overlap val="100"/>
        <c:axId val="368414192"/>
        <c:axId val="368537776"/>
      </c:barChart>
      <c:catAx>
        <c:axId val="368414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537776"/>
        <c:crosses val="autoZero"/>
        <c:auto val="1"/>
        <c:lblAlgn val="ctr"/>
        <c:lblOffset val="100"/>
        <c:noMultiLvlLbl val="0"/>
      </c:catAx>
      <c:valAx>
        <c:axId val="368537776"/>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414192"/>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Setting clear and measurable learning expectations that include levels of student performance required for mastery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2'!$B$3</c:f>
              <c:strCache>
                <c:ptCount val="1"/>
                <c:pt idx="0">
                  <c:v>Not important</c:v>
                </c:pt>
              </c:strCache>
            </c:strRef>
          </c:tx>
          <c:spPr>
            <a:solidFill>
              <a:schemeClr val="accent1"/>
            </a:solidFill>
            <a:ln>
              <a:noFill/>
            </a:ln>
            <a:effectLst/>
          </c:spPr>
          <c:invertIfNegative val="0"/>
          <c:cat>
            <c:strRef>
              <c:f>'Component 2'!$A$4:$A$7</c:f>
              <c:strCache>
                <c:ptCount val="4"/>
                <c:pt idx="0">
                  <c:v>Cohort V</c:v>
                </c:pt>
                <c:pt idx="1">
                  <c:v>Cohort IV</c:v>
                </c:pt>
                <c:pt idx="2">
                  <c:v>Cohort III</c:v>
                </c:pt>
                <c:pt idx="3">
                  <c:v>Cohort II</c:v>
                </c:pt>
              </c:strCache>
            </c:strRef>
          </c:cat>
          <c:val>
            <c:numRef>
              <c:f>'Component 2'!$B$4:$B$7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E82B-9048-8BC0-805ACF8540B1}"/>
            </c:ext>
          </c:extLst>
        </c:ser>
        <c:ser>
          <c:idx val="1"/>
          <c:order val="1"/>
          <c:tx>
            <c:strRef>
              <c:f>'Component 2'!$C$3</c:f>
              <c:strCache>
                <c:ptCount val="1"/>
                <c:pt idx="0">
                  <c:v>Somewhat important</c:v>
                </c:pt>
              </c:strCache>
            </c:strRef>
          </c:tx>
          <c:spPr>
            <a:solidFill>
              <a:schemeClr val="accent2"/>
            </a:solidFill>
            <a:ln>
              <a:noFill/>
            </a:ln>
            <a:effectLst/>
          </c:spPr>
          <c:invertIfNegative val="0"/>
          <c:cat>
            <c:strRef>
              <c:f>'Component 2'!$A$4:$A$7</c:f>
              <c:strCache>
                <c:ptCount val="4"/>
                <c:pt idx="0">
                  <c:v>Cohort V</c:v>
                </c:pt>
                <c:pt idx="1">
                  <c:v>Cohort IV</c:v>
                </c:pt>
                <c:pt idx="2">
                  <c:v>Cohort III</c:v>
                </c:pt>
                <c:pt idx="3">
                  <c:v>Cohort II</c:v>
                </c:pt>
              </c:strCache>
            </c:strRef>
          </c:cat>
          <c:val>
            <c:numRef>
              <c:f>'Component 2'!$C$4:$C$7</c:f>
              <c:numCache>
                <c:formatCode>0.00%</c:formatCode>
                <c:ptCount val="4"/>
                <c:pt idx="0">
                  <c:v>0</c:v>
                </c:pt>
                <c:pt idx="1">
                  <c:v>0</c:v>
                </c:pt>
                <c:pt idx="2">
                  <c:v>0</c:v>
                </c:pt>
                <c:pt idx="3">
                  <c:v>0</c:v>
                </c:pt>
              </c:numCache>
            </c:numRef>
          </c:val>
          <c:extLst>
            <c:ext xmlns:c16="http://schemas.microsoft.com/office/drawing/2014/chart" uri="{C3380CC4-5D6E-409C-BE32-E72D297353CC}">
              <c16:uniqueId val="{00000001-E82B-9048-8BC0-805ACF8540B1}"/>
            </c:ext>
          </c:extLst>
        </c:ser>
        <c:ser>
          <c:idx val="2"/>
          <c:order val="2"/>
          <c:tx>
            <c:strRef>
              <c:f>'Component 2'!$D$3</c:f>
              <c:strCache>
                <c:ptCount val="1"/>
                <c:pt idx="0">
                  <c:v>Important</c:v>
                </c:pt>
              </c:strCache>
            </c:strRef>
          </c:tx>
          <c:spPr>
            <a:solidFill>
              <a:schemeClr val="accent3"/>
            </a:solidFill>
            <a:ln>
              <a:noFill/>
            </a:ln>
            <a:effectLst/>
          </c:spPr>
          <c:invertIfNegative val="0"/>
          <c:cat>
            <c:strRef>
              <c:f>'Component 2'!$A$4:$A$7</c:f>
              <c:strCache>
                <c:ptCount val="4"/>
                <c:pt idx="0">
                  <c:v>Cohort V</c:v>
                </c:pt>
                <c:pt idx="1">
                  <c:v>Cohort IV</c:v>
                </c:pt>
                <c:pt idx="2">
                  <c:v>Cohort III</c:v>
                </c:pt>
                <c:pt idx="3">
                  <c:v>Cohort II</c:v>
                </c:pt>
              </c:strCache>
            </c:strRef>
          </c:cat>
          <c:val>
            <c:numRef>
              <c:f>'Component 2'!$D$4:$D$7</c:f>
              <c:numCache>
                <c:formatCode>0.00%</c:formatCode>
                <c:ptCount val="4"/>
                <c:pt idx="0">
                  <c:v>0.33329999999999999</c:v>
                </c:pt>
                <c:pt idx="1">
                  <c:v>0.22220000000000001</c:v>
                </c:pt>
                <c:pt idx="2">
                  <c:v>0.28570000000000001</c:v>
                </c:pt>
                <c:pt idx="3">
                  <c:v>0.15379999999999999</c:v>
                </c:pt>
              </c:numCache>
            </c:numRef>
          </c:val>
          <c:extLst>
            <c:ext xmlns:c16="http://schemas.microsoft.com/office/drawing/2014/chart" uri="{C3380CC4-5D6E-409C-BE32-E72D297353CC}">
              <c16:uniqueId val="{00000002-E82B-9048-8BC0-805ACF8540B1}"/>
            </c:ext>
          </c:extLst>
        </c:ser>
        <c:ser>
          <c:idx val="3"/>
          <c:order val="3"/>
          <c:tx>
            <c:strRef>
              <c:f>'Component 2'!$E$3</c:f>
              <c:strCache>
                <c:ptCount val="1"/>
                <c:pt idx="0">
                  <c:v>Very important</c:v>
                </c:pt>
              </c:strCache>
            </c:strRef>
          </c:tx>
          <c:spPr>
            <a:solidFill>
              <a:schemeClr val="accent4"/>
            </a:solidFill>
            <a:ln>
              <a:noFill/>
            </a:ln>
            <a:effectLst/>
          </c:spPr>
          <c:invertIfNegative val="0"/>
          <c:cat>
            <c:strRef>
              <c:f>'Component 2'!$A$4:$A$7</c:f>
              <c:strCache>
                <c:ptCount val="4"/>
                <c:pt idx="0">
                  <c:v>Cohort V</c:v>
                </c:pt>
                <c:pt idx="1">
                  <c:v>Cohort IV</c:v>
                </c:pt>
                <c:pt idx="2">
                  <c:v>Cohort III</c:v>
                </c:pt>
                <c:pt idx="3">
                  <c:v>Cohort II</c:v>
                </c:pt>
              </c:strCache>
            </c:strRef>
          </c:cat>
          <c:val>
            <c:numRef>
              <c:f>'Component 2'!$E$4:$E$7</c:f>
              <c:numCache>
                <c:formatCode>0.00%</c:formatCode>
                <c:ptCount val="4"/>
                <c:pt idx="0">
                  <c:v>0.66670000000000007</c:v>
                </c:pt>
                <c:pt idx="1">
                  <c:v>0.77780000000000005</c:v>
                </c:pt>
                <c:pt idx="2">
                  <c:v>0.71430000000000005</c:v>
                </c:pt>
                <c:pt idx="3">
                  <c:v>0.84620000000000006</c:v>
                </c:pt>
              </c:numCache>
            </c:numRef>
          </c:val>
          <c:extLst>
            <c:ext xmlns:c16="http://schemas.microsoft.com/office/drawing/2014/chart" uri="{C3380CC4-5D6E-409C-BE32-E72D297353CC}">
              <c16:uniqueId val="{00000003-E82B-9048-8BC0-805ACF8540B1}"/>
            </c:ext>
          </c:extLst>
        </c:ser>
        <c:dLbls>
          <c:showLegendKey val="0"/>
          <c:showVal val="0"/>
          <c:showCatName val="0"/>
          <c:showSerName val="0"/>
          <c:showPercent val="0"/>
          <c:showBubbleSize val="0"/>
        </c:dLbls>
        <c:gapWidth val="150"/>
        <c:overlap val="100"/>
        <c:axId val="1270295360"/>
        <c:axId val="1270281872"/>
      </c:barChart>
      <c:catAx>
        <c:axId val="1270295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281872"/>
        <c:crosses val="autoZero"/>
        <c:auto val="1"/>
        <c:lblAlgn val="ctr"/>
        <c:lblOffset val="100"/>
        <c:noMultiLvlLbl val="0"/>
      </c:catAx>
      <c:valAx>
        <c:axId val="127028187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295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Drawing on pedagogical principles of learning sciences when teaching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3'!$B$3</c:f>
              <c:strCache>
                <c:ptCount val="1"/>
                <c:pt idx="0">
                  <c:v>Not important</c:v>
                </c:pt>
              </c:strCache>
            </c:strRef>
          </c:tx>
          <c:spPr>
            <a:solidFill>
              <a:schemeClr val="accent1"/>
            </a:solidFill>
            <a:ln>
              <a:noFill/>
            </a:ln>
            <a:effectLst/>
          </c:spPr>
          <c:invertIfNegative val="0"/>
          <c:cat>
            <c:strRef>
              <c:f>'Component 3'!$A$4:$A$7</c:f>
              <c:strCache>
                <c:ptCount val="4"/>
                <c:pt idx="0">
                  <c:v>Cohort V</c:v>
                </c:pt>
                <c:pt idx="1">
                  <c:v>Cohort IV</c:v>
                </c:pt>
                <c:pt idx="2">
                  <c:v>Cohort III</c:v>
                </c:pt>
                <c:pt idx="3">
                  <c:v>Cohort II</c:v>
                </c:pt>
              </c:strCache>
            </c:strRef>
          </c:cat>
          <c:val>
            <c:numRef>
              <c:f>'Component 3'!$B$4:$B$7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B490-B04D-AC5E-DF1C8752242F}"/>
            </c:ext>
          </c:extLst>
        </c:ser>
        <c:ser>
          <c:idx val="1"/>
          <c:order val="1"/>
          <c:tx>
            <c:strRef>
              <c:f>'Component 3'!$C$3</c:f>
              <c:strCache>
                <c:ptCount val="1"/>
                <c:pt idx="0">
                  <c:v>Somewhat important</c:v>
                </c:pt>
              </c:strCache>
            </c:strRef>
          </c:tx>
          <c:spPr>
            <a:solidFill>
              <a:schemeClr val="accent2"/>
            </a:solidFill>
            <a:ln>
              <a:noFill/>
            </a:ln>
            <a:effectLst/>
          </c:spPr>
          <c:invertIfNegative val="0"/>
          <c:cat>
            <c:strRef>
              <c:f>'Component 3'!$A$4:$A$7</c:f>
              <c:strCache>
                <c:ptCount val="4"/>
                <c:pt idx="0">
                  <c:v>Cohort V</c:v>
                </c:pt>
                <c:pt idx="1">
                  <c:v>Cohort IV</c:v>
                </c:pt>
                <c:pt idx="2">
                  <c:v>Cohort III</c:v>
                </c:pt>
                <c:pt idx="3">
                  <c:v>Cohort II</c:v>
                </c:pt>
              </c:strCache>
            </c:strRef>
          </c:cat>
          <c:val>
            <c:numRef>
              <c:f>'Component 3'!$C$4:$C$7</c:f>
              <c:numCache>
                <c:formatCode>0.00%</c:formatCode>
                <c:ptCount val="4"/>
                <c:pt idx="0">
                  <c:v>5.5599999999999997E-2</c:v>
                </c:pt>
                <c:pt idx="1">
                  <c:v>5.5599999999999997E-2</c:v>
                </c:pt>
                <c:pt idx="2">
                  <c:v>7.1399999999999991E-2</c:v>
                </c:pt>
                <c:pt idx="3">
                  <c:v>0</c:v>
                </c:pt>
              </c:numCache>
            </c:numRef>
          </c:val>
          <c:extLst>
            <c:ext xmlns:c16="http://schemas.microsoft.com/office/drawing/2014/chart" uri="{C3380CC4-5D6E-409C-BE32-E72D297353CC}">
              <c16:uniqueId val="{00000001-B490-B04D-AC5E-DF1C8752242F}"/>
            </c:ext>
          </c:extLst>
        </c:ser>
        <c:ser>
          <c:idx val="2"/>
          <c:order val="2"/>
          <c:tx>
            <c:strRef>
              <c:f>'Component 3'!$D$3</c:f>
              <c:strCache>
                <c:ptCount val="1"/>
                <c:pt idx="0">
                  <c:v>Important</c:v>
                </c:pt>
              </c:strCache>
            </c:strRef>
          </c:tx>
          <c:spPr>
            <a:solidFill>
              <a:schemeClr val="accent3"/>
            </a:solidFill>
            <a:ln>
              <a:noFill/>
            </a:ln>
            <a:effectLst/>
          </c:spPr>
          <c:invertIfNegative val="0"/>
          <c:cat>
            <c:strRef>
              <c:f>'Component 3'!$A$4:$A$7</c:f>
              <c:strCache>
                <c:ptCount val="4"/>
                <c:pt idx="0">
                  <c:v>Cohort V</c:v>
                </c:pt>
                <c:pt idx="1">
                  <c:v>Cohort IV</c:v>
                </c:pt>
                <c:pt idx="2">
                  <c:v>Cohort III</c:v>
                </c:pt>
                <c:pt idx="3">
                  <c:v>Cohort II</c:v>
                </c:pt>
              </c:strCache>
            </c:strRef>
          </c:cat>
          <c:val>
            <c:numRef>
              <c:f>'Component 3'!$D$4:$D$7</c:f>
              <c:numCache>
                <c:formatCode>0.00%</c:formatCode>
                <c:ptCount val="4"/>
                <c:pt idx="0">
                  <c:v>0.38890000000000002</c:v>
                </c:pt>
                <c:pt idx="1">
                  <c:v>0.27779999999999999</c:v>
                </c:pt>
                <c:pt idx="2">
                  <c:v>0.64290000000000003</c:v>
                </c:pt>
                <c:pt idx="3">
                  <c:v>0.3846</c:v>
                </c:pt>
              </c:numCache>
            </c:numRef>
          </c:val>
          <c:extLst>
            <c:ext xmlns:c16="http://schemas.microsoft.com/office/drawing/2014/chart" uri="{C3380CC4-5D6E-409C-BE32-E72D297353CC}">
              <c16:uniqueId val="{00000002-B490-B04D-AC5E-DF1C8752242F}"/>
            </c:ext>
          </c:extLst>
        </c:ser>
        <c:ser>
          <c:idx val="3"/>
          <c:order val="3"/>
          <c:tx>
            <c:strRef>
              <c:f>'Component 3'!$E$3</c:f>
              <c:strCache>
                <c:ptCount val="1"/>
                <c:pt idx="0">
                  <c:v>Very important</c:v>
                </c:pt>
              </c:strCache>
            </c:strRef>
          </c:tx>
          <c:spPr>
            <a:solidFill>
              <a:schemeClr val="accent4"/>
            </a:solidFill>
            <a:ln>
              <a:noFill/>
            </a:ln>
            <a:effectLst/>
          </c:spPr>
          <c:invertIfNegative val="0"/>
          <c:cat>
            <c:strRef>
              <c:f>'Component 3'!$A$4:$A$7</c:f>
              <c:strCache>
                <c:ptCount val="4"/>
                <c:pt idx="0">
                  <c:v>Cohort V</c:v>
                </c:pt>
                <c:pt idx="1">
                  <c:v>Cohort IV</c:v>
                </c:pt>
                <c:pt idx="2">
                  <c:v>Cohort III</c:v>
                </c:pt>
                <c:pt idx="3">
                  <c:v>Cohort II</c:v>
                </c:pt>
              </c:strCache>
            </c:strRef>
          </c:cat>
          <c:val>
            <c:numRef>
              <c:f>'Component 3'!$E$4:$E$7</c:f>
              <c:numCache>
                <c:formatCode>0.00%</c:formatCode>
                <c:ptCount val="4"/>
                <c:pt idx="0">
                  <c:v>0.55559999999999998</c:v>
                </c:pt>
                <c:pt idx="1">
                  <c:v>0.66670000000000007</c:v>
                </c:pt>
                <c:pt idx="2">
                  <c:v>0.28570000000000001</c:v>
                </c:pt>
                <c:pt idx="3">
                  <c:v>0.61539999999999995</c:v>
                </c:pt>
              </c:numCache>
            </c:numRef>
          </c:val>
          <c:extLst>
            <c:ext xmlns:c16="http://schemas.microsoft.com/office/drawing/2014/chart" uri="{C3380CC4-5D6E-409C-BE32-E72D297353CC}">
              <c16:uniqueId val="{00000003-B490-B04D-AC5E-DF1C8752242F}"/>
            </c:ext>
          </c:extLst>
        </c:ser>
        <c:dLbls>
          <c:showLegendKey val="0"/>
          <c:showVal val="0"/>
          <c:showCatName val="0"/>
          <c:showSerName val="0"/>
          <c:showPercent val="0"/>
          <c:showBubbleSize val="0"/>
        </c:dLbls>
        <c:gapWidth val="150"/>
        <c:overlap val="100"/>
        <c:axId val="1270263056"/>
        <c:axId val="1270290320"/>
      </c:barChart>
      <c:catAx>
        <c:axId val="1270263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290320"/>
        <c:crosses val="autoZero"/>
        <c:auto val="1"/>
        <c:lblAlgn val="ctr"/>
        <c:lblOffset val="100"/>
        <c:noMultiLvlLbl val="0"/>
      </c:catAx>
      <c:valAx>
        <c:axId val="127029032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263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a:t>
            </a:r>
            <a:r>
              <a:rPr lang="en-US" sz="1100"/>
              <a:t>Taking into consideration student-directed learning pathways including student voice and student choice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4'!$B$3</c:f>
              <c:strCache>
                <c:ptCount val="1"/>
                <c:pt idx="0">
                  <c:v>Not important</c:v>
                </c:pt>
              </c:strCache>
            </c:strRef>
          </c:tx>
          <c:spPr>
            <a:solidFill>
              <a:schemeClr val="accent1"/>
            </a:solidFill>
            <a:ln>
              <a:noFill/>
            </a:ln>
            <a:effectLst/>
          </c:spPr>
          <c:invertIfNegative val="0"/>
          <c:cat>
            <c:strRef>
              <c:f>'Component 4'!$A$4:$A$7</c:f>
              <c:strCache>
                <c:ptCount val="4"/>
                <c:pt idx="0">
                  <c:v>Cohort V</c:v>
                </c:pt>
                <c:pt idx="1">
                  <c:v>Cohort IV</c:v>
                </c:pt>
                <c:pt idx="2">
                  <c:v>Cohort III</c:v>
                </c:pt>
                <c:pt idx="3">
                  <c:v>Cohort II</c:v>
                </c:pt>
              </c:strCache>
            </c:strRef>
          </c:cat>
          <c:val>
            <c:numRef>
              <c:f>'Component 4'!$B$4:$B$7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6F22-8E4A-8C85-ACE6A862B37A}"/>
            </c:ext>
          </c:extLst>
        </c:ser>
        <c:ser>
          <c:idx val="1"/>
          <c:order val="1"/>
          <c:tx>
            <c:strRef>
              <c:f>'Component 4'!$C$3</c:f>
              <c:strCache>
                <c:ptCount val="1"/>
                <c:pt idx="0">
                  <c:v>Somewhat important</c:v>
                </c:pt>
              </c:strCache>
            </c:strRef>
          </c:tx>
          <c:spPr>
            <a:solidFill>
              <a:schemeClr val="accent2"/>
            </a:solidFill>
            <a:ln>
              <a:noFill/>
            </a:ln>
            <a:effectLst/>
          </c:spPr>
          <c:invertIfNegative val="0"/>
          <c:cat>
            <c:strRef>
              <c:f>'Component 4'!$A$4:$A$7</c:f>
              <c:strCache>
                <c:ptCount val="4"/>
                <c:pt idx="0">
                  <c:v>Cohort V</c:v>
                </c:pt>
                <c:pt idx="1">
                  <c:v>Cohort IV</c:v>
                </c:pt>
                <c:pt idx="2">
                  <c:v>Cohort III</c:v>
                </c:pt>
                <c:pt idx="3">
                  <c:v>Cohort II</c:v>
                </c:pt>
              </c:strCache>
            </c:strRef>
          </c:cat>
          <c:val>
            <c:numRef>
              <c:f>'Component 4'!$C$4:$C$7</c:f>
              <c:numCache>
                <c:formatCode>0.00%</c:formatCode>
                <c:ptCount val="4"/>
                <c:pt idx="0">
                  <c:v>5.5599999999999997E-2</c:v>
                </c:pt>
                <c:pt idx="1">
                  <c:v>0</c:v>
                </c:pt>
                <c:pt idx="2">
                  <c:v>0</c:v>
                </c:pt>
                <c:pt idx="3">
                  <c:v>0</c:v>
                </c:pt>
              </c:numCache>
            </c:numRef>
          </c:val>
          <c:extLst>
            <c:ext xmlns:c16="http://schemas.microsoft.com/office/drawing/2014/chart" uri="{C3380CC4-5D6E-409C-BE32-E72D297353CC}">
              <c16:uniqueId val="{00000001-6F22-8E4A-8C85-ACE6A862B37A}"/>
            </c:ext>
          </c:extLst>
        </c:ser>
        <c:ser>
          <c:idx val="2"/>
          <c:order val="2"/>
          <c:tx>
            <c:strRef>
              <c:f>'Component 4'!$D$3</c:f>
              <c:strCache>
                <c:ptCount val="1"/>
                <c:pt idx="0">
                  <c:v>Important</c:v>
                </c:pt>
              </c:strCache>
            </c:strRef>
          </c:tx>
          <c:spPr>
            <a:solidFill>
              <a:schemeClr val="accent3"/>
            </a:solidFill>
            <a:ln>
              <a:noFill/>
            </a:ln>
            <a:effectLst/>
          </c:spPr>
          <c:invertIfNegative val="0"/>
          <c:cat>
            <c:strRef>
              <c:f>'Component 4'!$A$4:$A$7</c:f>
              <c:strCache>
                <c:ptCount val="4"/>
                <c:pt idx="0">
                  <c:v>Cohort V</c:v>
                </c:pt>
                <c:pt idx="1">
                  <c:v>Cohort IV</c:v>
                </c:pt>
                <c:pt idx="2">
                  <c:v>Cohort III</c:v>
                </c:pt>
                <c:pt idx="3">
                  <c:v>Cohort II</c:v>
                </c:pt>
              </c:strCache>
            </c:strRef>
          </c:cat>
          <c:val>
            <c:numRef>
              <c:f>'Component 4'!$D$4:$D$7</c:f>
              <c:numCache>
                <c:formatCode>0.00%</c:formatCode>
                <c:ptCount val="4"/>
                <c:pt idx="0">
                  <c:v>0.27779999999999999</c:v>
                </c:pt>
                <c:pt idx="1">
                  <c:v>0.22220000000000001</c:v>
                </c:pt>
                <c:pt idx="2">
                  <c:v>0.42859999999999998</c:v>
                </c:pt>
                <c:pt idx="3">
                  <c:v>0.15379999999999999</c:v>
                </c:pt>
              </c:numCache>
            </c:numRef>
          </c:val>
          <c:extLst>
            <c:ext xmlns:c16="http://schemas.microsoft.com/office/drawing/2014/chart" uri="{C3380CC4-5D6E-409C-BE32-E72D297353CC}">
              <c16:uniqueId val="{00000002-6F22-8E4A-8C85-ACE6A862B37A}"/>
            </c:ext>
          </c:extLst>
        </c:ser>
        <c:ser>
          <c:idx val="3"/>
          <c:order val="3"/>
          <c:tx>
            <c:strRef>
              <c:f>'Component 4'!$E$3</c:f>
              <c:strCache>
                <c:ptCount val="1"/>
                <c:pt idx="0">
                  <c:v>Very important</c:v>
                </c:pt>
              </c:strCache>
            </c:strRef>
          </c:tx>
          <c:spPr>
            <a:solidFill>
              <a:schemeClr val="accent4"/>
            </a:solidFill>
            <a:ln>
              <a:noFill/>
            </a:ln>
            <a:effectLst/>
          </c:spPr>
          <c:invertIfNegative val="0"/>
          <c:cat>
            <c:strRef>
              <c:f>'Component 4'!$A$4:$A$7</c:f>
              <c:strCache>
                <c:ptCount val="4"/>
                <c:pt idx="0">
                  <c:v>Cohort V</c:v>
                </c:pt>
                <c:pt idx="1">
                  <c:v>Cohort IV</c:v>
                </c:pt>
                <c:pt idx="2">
                  <c:v>Cohort III</c:v>
                </c:pt>
                <c:pt idx="3">
                  <c:v>Cohort II</c:v>
                </c:pt>
              </c:strCache>
            </c:strRef>
          </c:cat>
          <c:val>
            <c:numRef>
              <c:f>'Component 4'!$E$4:$E$7</c:f>
              <c:numCache>
                <c:formatCode>0.00%</c:formatCode>
                <c:ptCount val="4"/>
                <c:pt idx="0">
                  <c:v>0.66670000000000007</c:v>
                </c:pt>
                <c:pt idx="1">
                  <c:v>0.77780000000000005</c:v>
                </c:pt>
                <c:pt idx="2">
                  <c:v>0.57140000000000002</c:v>
                </c:pt>
                <c:pt idx="3">
                  <c:v>0.84620000000000006</c:v>
                </c:pt>
              </c:numCache>
            </c:numRef>
          </c:val>
          <c:extLst>
            <c:ext xmlns:c16="http://schemas.microsoft.com/office/drawing/2014/chart" uri="{C3380CC4-5D6E-409C-BE32-E72D297353CC}">
              <c16:uniqueId val="{00000003-6F22-8E4A-8C85-ACE6A862B37A}"/>
            </c:ext>
          </c:extLst>
        </c:ser>
        <c:dLbls>
          <c:showLegendKey val="0"/>
          <c:showVal val="0"/>
          <c:showCatName val="0"/>
          <c:showSerName val="0"/>
          <c:showPercent val="0"/>
          <c:showBubbleSize val="0"/>
        </c:dLbls>
        <c:gapWidth val="150"/>
        <c:overlap val="100"/>
        <c:axId val="1227975232"/>
        <c:axId val="1227976944"/>
      </c:barChart>
      <c:catAx>
        <c:axId val="1227975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7976944"/>
        <c:crosses val="autoZero"/>
        <c:auto val="1"/>
        <c:lblAlgn val="ctr"/>
        <c:lblOffset val="100"/>
        <c:noMultiLvlLbl val="0"/>
      </c:catAx>
      <c:valAx>
        <c:axId val="122797694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7975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a:t>
            </a:r>
            <a:r>
              <a:rPr lang="en-US" sz="1100"/>
              <a:t>Designing instruction to provide students timely and differentiated support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5'!$B$3</c:f>
              <c:strCache>
                <c:ptCount val="1"/>
                <c:pt idx="0">
                  <c:v>Not important</c:v>
                </c:pt>
              </c:strCache>
            </c:strRef>
          </c:tx>
          <c:spPr>
            <a:solidFill>
              <a:schemeClr val="accent1"/>
            </a:solidFill>
            <a:ln>
              <a:noFill/>
            </a:ln>
            <a:effectLst/>
          </c:spPr>
          <c:invertIfNegative val="0"/>
          <c:cat>
            <c:strRef>
              <c:f>'Component 5'!$A$4:$A$7</c:f>
              <c:strCache>
                <c:ptCount val="4"/>
                <c:pt idx="0">
                  <c:v>Cohort V</c:v>
                </c:pt>
                <c:pt idx="1">
                  <c:v>Cohort IV</c:v>
                </c:pt>
                <c:pt idx="2">
                  <c:v>Cohort III</c:v>
                </c:pt>
                <c:pt idx="3">
                  <c:v>Cohort II</c:v>
                </c:pt>
              </c:strCache>
            </c:strRef>
          </c:cat>
          <c:val>
            <c:numRef>
              <c:f>'Component 5'!$B$4:$B$7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E131-BC49-BB4C-FD974484D009}"/>
            </c:ext>
          </c:extLst>
        </c:ser>
        <c:ser>
          <c:idx val="1"/>
          <c:order val="1"/>
          <c:tx>
            <c:strRef>
              <c:f>'Component 5'!$C$3</c:f>
              <c:strCache>
                <c:ptCount val="1"/>
                <c:pt idx="0">
                  <c:v>Somewhat important</c:v>
                </c:pt>
              </c:strCache>
            </c:strRef>
          </c:tx>
          <c:spPr>
            <a:solidFill>
              <a:schemeClr val="accent2"/>
            </a:solidFill>
            <a:ln>
              <a:noFill/>
            </a:ln>
            <a:effectLst/>
          </c:spPr>
          <c:invertIfNegative val="0"/>
          <c:cat>
            <c:strRef>
              <c:f>'Component 5'!$A$4:$A$7</c:f>
              <c:strCache>
                <c:ptCount val="4"/>
                <c:pt idx="0">
                  <c:v>Cohort V</c:v>
                </c:pt>
                <c:pt idx="1">
                  <c:v>Cohort IV</c:v>
                </c:pt>
                <c:pt idx="2">
                  <c:v>Cohort III</c:v>
                </c:pt>
                <c:pt idx="3">
                  <c:v>Cohort II</c:v>
                </c:pt>
              </c:strCache>
            </c:strRef>
          </c:cat>
          <c:val>
            <c:numRef>
              <c:f>'Component 5'!$C$4:$C$7</c:f>
              <c:numCache>
                <c:formatCode>0.00%</c:formatCode>
                <c:ptCount val="4"/>
                <c:pt idx="0">
                  <c:v>0</c:v>
                </c:pt>
                <c:pt idx="1">
                  <c:v>5.8799999999999998E-2</c:v>
                </c:pt>
                <c:pt idx="2">
                  <c:v>0</c:v>
                </c:pt>
                <c:pt idx="3">
                  <c:v>0</c:v>
                </c:pt>
              </c:numCache>
            </c:numRef>
          </c:val>
          <c:extLst>
            <c:ext xmlns:c16="http://schemas.microsoft.com/office/drawing/2014/chart" uri="{C3380CC4-5D6E-409C-BE32-E72D297353CC}">
              <c16:uniqueId val="{00000001-E131-BC49-BB4C-FD974484D009}"/>
            </c:ext>
          </c:extLst>
        </c:ser>
        <c:ser>
          <c:idx val="2"/>
          <c:order val="2"/>
          <c:tx>
            <c:strRef>
              <c:f>'Component 5'!$D$3</c:f>
              <c:strCache>
                <c:ptCount val="1"/>
                <c:pt idx="0">
                  <c:v>Important</c:v>
                </c:pt>
              </c:strCache>
            </c:strRef>
          </c:tx>
          <c:spPr>
            <a:solidFill>
              <a:schemeClr val="accent3"/>
            </a:solidFill>
            <a:ln>
              <a:noFill/>
            </a:ln>
            <a:effectLst/>
          </c:spPr>
          <c:invertIfNegative val="0"/>
          <c:cat>
            <c:strRef>
              <c:f>'Component 5'!$A$4:$A$7</c:f>
              <c:strCache>
                <c:ptCount val="4"/>
                <c:pt idx="0">
                  <c:v>Cohort V</c:v>
                </c:pt>
                <c:pt idx="1">
                  <c:v>Cohort IV</c:v>
                </c:pt>
                <c:pt idx="2">
                  <c:v>Cohort III</c:v>
                </c:pt>
                <c:pt idx="3">
                  <c:v>Cohort II</c:v>
                </c:pt>
              </c:strCache>
            </c:strRef>
          </c:cat>
          <c:val>
            <c:numRef>
              <c:f>'Component 5'!$D$4:$D$7</c:f>
              <c:numCache>
                <c:formatCode>0.00%</c:formatCode>
                <c:ptCount val="4"/>
                <c:pt idx="0">
                  <c:v>0.22220000000000001</c:v>
                </c:pt>
                <c:pt idx="1">
                  <c:v>0.29409999999999997</c:v>
                </c:pt>
                <c:pt idx="2">
                  <c:v>0.28570000000000001</c:v>
                </c:pt>
                <c:pt idx="3">
                  <c:v>7.690000000000001E-2</c:v>
                </c:pt>
              </c:numCache>
            </c:numRef>
          </c:val>
          <c:extLst>
            <c:ext xmlns:c16="http://schemas.microsoft.com/office/drawing/2014/chart" uri="{C3380CC4-5D6E-409C-BE32-E72D297353CC}">
              <c16:uniqueId val="{00000002-E131-BC49-BB4C-FD974484D009}"/>
            </c:ext>
          </c:extLst>
        </c:ser>
        <c:ser>
          <c:idx val="3"/>
          <c:order val="3"/>
          <c:tx>
            <c:strRef>
              <c:f>'Component 5'!$E$3</c:f>
              <c:strCache>
                <c:ptCount val="1"/>
                <c:pt idx="0">
                  <c:v>Very important</c:v>
                </c:pt>
              </c:strCache>
            </c:strRef>
          </c:tx>
          <c:spPr>
            <a:solidFill>
              <a:schemeClr val="accent4"/>
            </a:solidFill>
            <a:ln>
              <a:noFill/>
            </a:ln>
            <a:effectLst/>
          </c:spPr>
          <c:invertIfNegative val="0"/>
          <c:cat>
            <c:strRef>
              <c:f>'Component 5'!$A$4:$A$7</c:f>
              <c:strCache>
                <c:ptCount val="4"/>
                <c:pt idx="0">
                  <c:v>Cohort V</c:v>
                </c:pt>
                <c:pt idx="1">
                  <c:v>Cohort IV</c:v>
                </c:pt>
                <c:pt idx="2">
                  <c:v>Cohort III</c:v>
                </c:pt>
                <c:pt idx="3">
                  <c:v>Cohort II</c:v>
                </c:pt>
              </c:strCache>
            </c:strRef>
          </c:cat>
          <c:val>
            <c:numRef>
              <c:f>'Component 5'!$E$4:$E$7</c:f>
              <c:numCache>
                <c:formatCode>0.00%</c:formatCode>
                <c:ptCount val="4"/>
                <c:pt idx="0">
                  <c:v>0.77780000000000005</c:v>
                </c:pt>
                <c:pt idx="1">
                  <c:v>0.6470999999999999</c:v>
                </c:pt>
                <c:pt idx="2">
                  <c:v>0.71430000000000005</c:v>
                </c:pt>
                <c:pt idx="3">
                  <c:v>0.92310000000000003</c:v>
                </c:pt>
              </c:numCache>
            </c:numRef>
          </c:val>
          <c:extLst>
            <c:ext xmlns:c16="http://schemas.microsoft.com/office/drawing/2014/chart" uri="{C3380CC4-5D6E-409C-BE32-E72D297353CC}">
              <c16:uniqueId val="{00000003-E131-BC49-BB4C-FD974484D009}"/>
            </c:ext>
          </c:extLst>
        </c:ser>
        <c:dLbls>
          <c:showLegendKey val="0"/>
          <c:showVal val="0"/>
          <c:showCatName val="0"/>
          <c:showSerName val="0"/>
          <c:showPercent val="0"/>
          <c:showBubbleSize val="0"/>
        </c:dLbls>
        <c:gapWidth val="150"/>
        <c:overlap val="100"/>
        <c:axId val="1270619968"/>
        <c:axId val="1270516384"/>
      </c:barChart>
      <c:catAx>
        <c:axId val="1270619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516384"/>
        <c:crosses val="autoZero"/>
        <c:auto val="1"/>
        <c:lblAlgn val="ctr"/>
        <c:lblOffset val="100"/>
        <c:noMultiLvlLbl val="0"/>
      </c:catAx>
      <c:valAx>
        <c:axId val="127051638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61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effectLst/>
              </a:rPr>
              <a:t>Providing daily flex learning time for students</a:t>
            </a:r>
          </a:p>
        </c:rich>
      </c:tx>
      <c:layout>
        <c:manualLayout>
          <c:xMode val="edge"/>
          <c:yMode val="edge"/>
          <c:x val="0.30671522309711291"/>
          <c:y val="1.851851851851851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6'!$B$3</c:f>
              <c:strCache>
                <c:ptCount val="1"/>
                <c:pt idx="0">
                  <c:v>Not important</c:v>
                </c:pt>
              </c:strCache>
            </c:strRef>
          </c:tx>
          <c:spPr>
            <a:solidFill>
              <a:schemeClr val="accent1"/>
            </a:solidFill>
            <a:ln>
              <a:noFill/>
            </a:ln>
            <a:effectLst/>
          </c:spPr>
          <c:invertIfNegative val="0"/>
          <c:cat>
            <c:strRef>
              <c:f>'Component 6'!$A$4:$A$7</c:f>
              <c:strCache>
                <c:ptCount val="4"/>
                <c:pt idx="0">
                  <c:v>Cohort V</c:v>
                </c:pt>
                <c:pt idx="1">
                  <c:v>Cohort IV</c:v>
                </c:pt>
                <c:pt idx="2">
                  <c:v>Cohort III</c:v>
                </c:pt>
                <c:pt idx="3">
                  <c:v>Cohort II</c:v>
                </c:pt>
              </c:strCache>
            </c:strRef>
          </c:cat>
          <c:val>
            <c:numRef>
              <c:f>'Component 6'!$B$4:$B$7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1BDB-244A-9450-498BCB14111E}"/>
            </c:ext>
          </c:extLst>
        </c:ser>
        <c:ser>
          <c:idx val="1"/>
          <c:order val="1"/>
          <c:tx>
            <c:strRef>
              <c:f>'Component 6'!$C$3</c:f>
              <c:strCache>
                <c:ptCount val="1"/>
                <c:pt idx="0">
                  <c:v>Somewhat important</c:v>
                </c:pt>
              </c:strCache>
            </c:strRef>
          </c:tx>
          <c:spPr>
            <a:solidFill>
              <a:schemeClr val="accent2"/>
            </a:solidFill>
            <a:ln>
              <a:noFill/>
            </a:ln>
            <a:effectLst/>
          </c:spPr>
          <c:invertIfNegative val="0"/>
          <c:cat>
            <c:strRef>
              <c:f>'Component 6'!$A$4:$A$7</c:f>
              <c:strCache>
                <c:ptCount val="4"/>
                <c:pt idx="0">
                  <c:v>Cohort V</c:v>
                </c:pt>
                <c:pt idx="1">
                  <c:v>Cohort IV</c:v>
                </c:pt>
                <c:pt idx="2">
                  <c:v>Cohort III</c:v>
                </c:pt>
                <c:pt idx="3">
                  <c:v>Cohort II</c:v>
                </c:pt>
              </c:strCache>
            </c:strRef>
          </c:cat>
          <c:val>
            <c:numRef>
              <c:f>'Component 6'!$C$4:$C$7</c:f>
              <c:numCache>
                <c:formatCode>0.00%</c:formatCode>
                <c:ptCount val="4"/>
                <c:pt idx="0">
                  <c:v>0.16669999999999999</c:v>
                </c:pt>
                <c:pt idx="1">
                  <c:v>0.22220000000000001</c:v>
                </c:pt>
                <c:pt idx="2">
                  <c:v>7.690000000000001E-2</c:v>
                </c:pt>
                <c:pt idx="3">
                  <c:v>0</c:v>
                </c:pt>
              </c:numCache>
            </c:numRef>
          </c:val>
          <c:extLst>
            <c:ext xmlns:c16="http://schemas.microsoft.com/office/drawing/2014/chart" uri="{C3380CC4-5D6E-409C-BE32-E72D297353CC}">
              <c16:uniqueId val="{00000001-1BDB-244A-9450-498BCB14111E}"/>
            </c:ext>
          </c:extLst>
        </c:ser>
        <c:ser>
          <c:idx val="2"/>
          <c:order val="2"/>
          <c:tx>
            <c:strRef>
              <c:f>'Component 6'!$D$3</c:f>
              <c:strCache>
                <c:ptCount val="1"/>
                <c:pt idx="0">
                  <c:v>Important</c:v>
                </c:pt>
              </c:strCache>
            </c:strRef>
          </c:tx>
          <c:spPr>
            <a:solidFill>
              <a:schemeClr val="accent3"/>
            </a:solidFill>
            <a:ln>
              <a:noFill/>
            </a:ln>
            <a:effectLst/>
          </c:spPr>
          <c:invertIfNegative val="0"/>
          <c:cat>
            <c:strRef>
              <c:f>'Component 6'!$A$4:$A$7</c:f>
              <c:strCache>
                <c:ptCount val="4"/>
                <c:pt idx="0">
                  <c:v>Cohort V</c:v>
                </c:pt>
                <c:pt idx="1">
                  <c:v>Cohort IV</c:v>
                </c:pt>
                <c:pt idx="2">
                  <c:v>Cohort III</c:v>
                </c:pt>
                <c:pt idx="3">
                  <c:v>Cohort II</c:v>
                </c:pt>
              </c:strCache>
            </c:strRef>
          </c:cat>
          <c:val>
            <c:numRef>
              <c:f>'Component 6'!$D$4:$D$7</c:f>
              <c:numCache>
                <c:formatCode>0.00%</c:formatCode>
                <c:ptCount val="4"/>
                <c:pt idx="0">
                  <c:v>0.38890000000000002</c:v>
                </c:pt>
                <c:pt idx="1">
                  <c:v>0.33329999999999999</c:v>
                </c:pt>
                <c:pt idx="2">
                  <c:v>0.46150000000000002</c:v>
                </c:pt>
                <c:pt idx="3">
                  <c:v>0.57140000000000002</c:v>
                </c:pt>
              </c:numCache>
            </c:numRef>
          </c:val>
          <c:extLst>
            <c:ext xmlns:c16="http://schemas.microsoft.com/office/drawing/2014/chart" uri="{C3380CC4-5D6E-409C-BE32-E72D297353CC}">
              <c16:uniqueId val="{00000002-1BDB-244A-9450-498BCB14111E}"/>
            </c:ext>
          </c:extLst>
        </c:ser>
        <c:ser>
          <c:idx val="3"/>
          <c:order val="3"/>
          <c:tx>
            <c:strRef>
              <c:f>'Component 6'!$E$3</c:f>
              <c:strCache>
                <c:ptCount val="1"/>
                <c:pt idx="0">
                  <c:v>Very important</c:v>
                </c:pt>
              </c:strCache>
            </c:strRef>
          </c:tx>
          <c:spPr>
            <a:solidFill>
              <a:schemeClr val="accent4"/>
            </a:solidFill>
            <a:ln>
              <a:noFill/>
            </a:ln>
            <a:effectLst/>
          </c:spPr>
          <c:invertIfNegative val="0"/>
          <c:cat>
            <c:strRef>
              <c:f>'Component 6'!$A$4:$A$7</c:f>
              <c:strCache>
                <c:ptCount val="4"/>
                <c:pt idx="0">
                  <c:v>Cohort V</c:v>
                </c:pt>
                <c:pt idx="1">
                  <c:v>Cohort IV</c:v>
                </c:pt>
                <c:pt idx="2">
                  <c:v>Cohort III</c:v>
                </c:pt>
                <c:pt idx="3">
                  <c:v>Cohort II</c:v>
                </c:pt>
              </c:strCache>
            </c:strRef>
          </c:cat>
          <c:val>
            <c:numRef>
              <c:f>'Component 6'!$E$4:$E$7</c:f>
              <c:numCache>
                <c:formatCode>0.00%</c:formatCode>
                <c:ptCount val="4"/>
                <c:pt idx="0">
                  <c:v>0.44440000000000002</c:v>
                </c:pt>
                <c:pt idx="1">
                  <c:v>0.44440000000000002</c:v>
                </c:pt>
                <c:pt idx="2">
                  <c:v>0.46150000000000002</c:v>
                </c:pt>
                <c:pt idx="3">
                  <c:v>0.42859999999999998</c:v>
                </c:pt>
              </c:numCache>
            </c:numRef>
          </c:val>
          <c:extLst>
            <c:ext xmlns:c16="http://schemas.microsoft.com/office/drawing/2014/chart" uri="{C3380CC4-5D6E-409C-BE32-E72D297353CC}">
              <c16:uniqueId val="{00000003-1BDB-244A-9450-498BCB14111E}"/>
            </c:ext>
          </c:extLst>
        </c:ser>
        <c:dLbls>
          <c:showLegendKey val="0"/>
          <c:showVal val="0"/>
          <c:showCatName val="0"/>
          <c:showSerName val="0"/>
          <c:showPercent val="0"/>
          <c:showBubbleSize val="0"/>
        </c:dLbls>
        <c:gapWidth val="150"/>
        <c:overlap val="100"/>
        <c:axId val="425685472"/>
        <c:axId val="425687184"/>
      </c:barChart>
      <c:catAx>
        <c:axId val="425685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687184"/>
        <c:crosses val="autoZero"/>
        <c:auto val="1"/>
        <c:lblAlgn val="ctr"/>
        <c:lblOffset val="100"/>
        <c:noMultiLvlLbl val="0"/>
      </c:catAx>
      <c:valAx>
        <c:axId val="42568718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685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Using flex learning time to provide students with strategic, scaffolded instruction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7'!$B$3</c:f>
              <c:strCache>
                <c:ptCount val="1"/>
                <c:pt idx="0">
                  <c:v>Not important</c:v>
                </c:pt>
              </c:strCache>
            </c:strRef>
          </c:tx>
          <c:spPr>
            <a:solidFill>
              <a:schemeClr val="accent1"/>
            </a:solidFill>
            <a:ln>
              <a:noFill/>
            </a:ln>
            <a:effectLst/>
          </c:spPr>
          <c:invertIfNegative val="0"/>
          <c:cat>
            <c:strRef>
              <c:f>'Component 7'!$A$4:$A$7</c:f>
              <c:strCache>
                <c:ptCount val="4"/>
                <c:pt idx="0">
                  <c:v>Cohort V</c:v>
                </c:pt>
                <c:pt idx="1">
                  <c:v>Cohort IV</c:v>
                </c:pt>
                <c:pt idx="2">
                  <c:v>Cohort III</c:v>
                </c:pt>
                <c:pt idx="3">
                  <c:v>Cohort II</c:v>
                </c:pt>
              </c:strCache>
            </c:strRef>
          </c:cat>
          <c:val>
            <c:numRef>
              <c:f>'Component 7'!$B$4:$B$7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E815-B340-912B-835430866C06}"/>
            </c:ext>
          </c:extLst>
        </c:ser>
        <c:ser>
          <c:idx val="1"/>
          <c:order val="1"/>
          <c:tx>
            <c:strRef>
              <c:f>'Component 7'!$C$3</c:f>
              <c:strCache>
                <c:ptCount val="1"/>
                <c:pt idx="0">
                  <c:v>Somewhat important</c:v>
                </c:pt>
              </c:strCache>
            </c:strRef>
          </c:tx>
          <c:spPr>
            <a:solidFill>
              <a:schemeClr val="accent2"/>
            </a:solidFill>
            <a:ln>
              <a:noFill/>
            </a:ln>
            <a:effectLst/>
          </c:spPr>
          <c:invertIfNegative val="0"/>
          <c:cat>
            <c:strRef>
              <c:f>'Component 7'!$A$4:$A$7</c:f>
              <c:strCache>
                <c:ptCount val="4"/>
                <c:pt idx="0">
                  <c:v>Cohort V</c:v>
                </c:pt>
                <c:pt idx="1">
                  <c:v>Cohort IV</c:v>
                </c:pt>
                <c:pt idx="2">
                  <c:v>Cohort III</c:v>
                </c:pt>
                <c:pt idx="3">
                  <c:v>Cohort II</c:v>
                </c:pt>
              </c:strCache>
            </c:strRef>
          </c:cat>
          <c:val>
            <c:numRef>
              <c:f>'Component 7'!$C$4:$C$7</c:f>
              <c:numCache>
                <c:formatCode>0.00%</c:formatCode>
                <c:ptCount val="4"/>
                <c:pt idx="0">
                  <c:v>0.1111</c:v>
                </c:pt>
                <c:pt idx="1">
                  <c:v>0.1111</c:v>
                </c:pt>
                <c:pt idx="2">
                  <c:v>0</c:v>
                </c:pt>
                <c:pt idx="3">
                  <c:v>7.690000000000001E-2</c:v>
                </c:pt>
              </c:numCache>
            </c:numRef>
          </c:val>
          <c:extLst>
            <c:ext xmlns:c16="http://schemas.microsoft.com/office/drawing/2014/chart" uri="{C3380CC4-5D6E-409C-BE32-E72D297353CC}">
              <c16:uniqueId val="{00000001-E815-B340-912B-835430866C06}"/>
            </c:ext>
          </c:extLst>
        </c:ser>
        <c:ser>
          <c:idx val="2"/>
          <c:order val="2"/>
          <c:tx>
            <c:strRef>
              <c:f>'Component 7'!$D$3</c:f>
              <c:strCache>
                <c:ptCount val="1"/>
                <c:pt idx="0">
                  <c:v>Important</c:v>
                </c:pt>
              </c:strCache>
            </c:strRef>
          </c:tx>
          <c:spPr>
            <a:solidFill>
              <a:schemeClr val="accent3"/>
            </a:solidFill>
            <a:ln>
              <a:noFill/>
            </a:ln>
            <a:effectLst/>
          </c:spPr>
          <c:invertIfNegative val="0"/>
          <c:cat>
            <c:strRef>
              <c:f>'Component 7'!$A$4:$A$7</c:f>
              <c:strCache>
                <c:ptCount val="4"/>
                <c:pt idx="0">
                  <c:v>Cohort V</c:v>
                </c:pt>
                <c:pt idx="1">
                  <c:v>Cohort IV</c:v>
                </c:pt>
                <c:pt idx="2">
                  <c:v>Cohort III</c:v>
                </c:pt>
                <c:pt idx="3">
                  <c:v>Cohort II</c:v>
                </c:pt>
              </c:strCache>
            </c:strRef>
          </c:cat>
          <c:val>
            <c:numRef>
              <c:f>'Component 7'!$D$4:$D$7</c:f>
              <c:numCache>
                <c:formatCode>0.00%</c:formatCode>
                <c:ptCount val="4"/>
                <c:pt idx="0">
                  <c:v>0.44440000000000002</c:v>
                </c:pt>
                <c:pt idx="1">
                  <c:v>0.44440000000000002</c:v>
                </c:pt>
                <c:pt idx="2">
                  <c:v>0.5</c:v>
                </c:pt>
                <c:pt idx="3">
                  <c:v>0.30769999999999997</c:v>
                </c:pt>
              </c:numCache>
            </c:numRef>
          </c:val>
          <c:extLst>
            <c:ext xmlns:c16="http://schemas.microsoft.com/office/drawing/2014/chart" uri="{C3380CC4-5D6E-409C-BE32-E72D297353CC}">
              <c16:uniqueId val="{00000002-E815-B340-912B-835430866C06}"/>
            </c:ext>
          </c:extLst>
        </c:ser>
        <c:ser>
          <c:idx val="3"/>
          <c:order val="3"/>
          <c:tx>
            <c:strRef>
              <c:f>'Component 7'!$E$3</c:f>
              <c:strCache>
                <c:ptCount val="1"/>
                <c:pt idx="0">
                  <c:v>Very important</c:v>
                </c:pt>
              </c:strCache>
            </c:strRef>
          </c:tx>
          <c:spPr>
            <a:solidFill>
              <a:schemeClr val="accent4"/>
            </a:solidFill>
            <a:ln>
              <a:noFill/>
            </a:ln>
            <a:effectLst/>
          </c:spPr>
          <c:invertIfNegative val="0"/>
          <c:cat>
            <c:strRef>
              <c:f>'Component 7'!$A$4:$A$7</c:f>
              <c:strCache>
                <c:ptCount val="4"/>
                <c:pt idx="0">
                  <c:v>Cohort V</c:v>
                </c:pt>
                <c:pt idx="1">
                  <c:v>Cohort IV</c:v>
                </c:pt>
                <c:pt idx="2">
                  <c:v>Cohort III</c:v>
                </c:pt>
                <c:pt idx="3">
                  <c:v>Cohort II</c:v>
                </c:pt>
              </c:strCache>
            </c:strRef>
          </c:cat>
          <c:val>
            <c:numRef>
              <c:f>'Component 7'!$E$4:$E$7</c:f>
              <c:numCache>
                <c:formatCode>0.00%</c:formatCode>
                <c:ptCount val="4"/>
                <c:pt idx="0">
                  <c:v>0.44440000000000002</c:v>
                </c:pt>
                <c:pt idx="1">
                  <c:v>0.44440000000000002</c:v>
                </c:pt>
                <c:pt idx="2">
                  <c:v>0.5</c:v>
                </c:pt>
                <c:pt idx="3">
                  <c:v>0.61539999999999995</c:v>
                </c:pt>
              </c:numCache>
            </c:numRef>
          </c:val>
          <c:extLst>
            <c:ext xmlns:c16="http://schemas.microsoft.com/office/drawing/2014/chart" uri="{C3380CC4-5D6E-409C-BE32-E72D297353CC}">
              <c16:uniqueId val="{00000003-E815-B340-912B-835430866C06}"/>
            </c:ext>
          </c:extLst>
        </c:ser>
        <c:dLbls>
          <c:showLegendKey val="0"/>
          <c:showVal val="0"/>
          <c:showCatName val="0"/>
          <c:showSerName val="0"/>
          <c:showPercent val="0"/>
          <c:showBubbleSize val="0"/>
        </c:dLbls>
        <c:gapWidth val="150"/>
        <c:overlap val="100"/>
        <c:axId val="1495230447"/>
        <c:axId val="1494885391"/>
      </c:barChart>
      <c:catAx>
        <c:axId val="14952304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4885391"/>
        <c:crosses val="autoZero"/>
        <c:auto val="1"/>
        <c:lblAlgn val="ctr"/>
        <c:lblOffset val="100"/>
        <c:noMultiLvlLbl val="0"/>
      </c:catAx>
      <c:valAx>
        <c:axId val="1494885391"/>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2304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Embedding the formative assessment process in the personalized learning cycle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8'!$B$3</c:f>
              <c:strCache>
                <c:ptCount val="1"/>
                <c:pt idx="0">
                  <c:v>Not important</c:v>
                </c:pt>
              </c:strCache>
            </c:strRef>
          </c:tx>
          <c:spPr>
            <a:solidFill>
              <a:schemeClr val="accent1"/>
            </a:solidFill>
            <a:ln>
              <a:noFill/>
            </a:ln>
            <a:effectLst/>
          </c:spPr>
          <c:invertIfNegative val="0"/>
          <c:cat>
            <c:strRef>
              <c:f>'Component 8'!$A$4:$A$7</c:f>
              <c:strCache>
                <c:ptCount val="4"/>
                <c:pt idx="0">
                  <c:v>Cohort V</c:v>
                </c:pt>
                <c:pt idx="1">
                  <c:v>Cohort IV</c:v>
                </c:pt>
                <c:pt idx="2">
                  <c:v>Cohort III</c:v>
                </c:pt>
                <c:pt idx="3">
                  <c:v>Cohort II</c:v>
                </c:pt>
              </c:strCache>
            </c:strRef>
          </c:cat>
          <c:val>
            <c:numRef>
              <c:f>'Component 8'!$B$4:$B$7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98DA-3D42-835D-FA53B5E14F41}"/>
            </c:ext>
          </c:extLst>
        </c:ser>
        <c:ser>
          <c:idx val="1"/>
          <c:order val="1"/>
          <c:tx>
            <c:strRef>
              <c:f>'Component 8'!$C$3</c:f>
              <c:strCache>
                <c:ptCount val="1"/>
                <c:pt idx="0">
                  <c:v>Somewhat important</c:v>
                </c:pt>
              </c:strCache>
            </c:strRef>
          </c:tx>
          <c:spPr>
            <a:solidFill>
              <a:schemeClr val="accent2"/>
            </a:solidFill>
            <a:ln>
              <a:noFill/>
            </a:ln>
            <a:effectLst/>
          </c:spPr>
          <c:invertIfNegative val="0"/>
          <c:cat>
            <c:strRef>
              <c:f>'Component 8'!$A$4:$A$7</c:f>
              <c:strCache>
                <c:ptCount val="4"/>
                <c:pt idx="0">
                  <c:v>Cohort V</c:v>
                </c:pt>
                <c:pt idx="1">
                  <c:v>Cohort IV</c:v>
                </c:pt>
                <c:pt idx="2">
                  <c:v>Cohort III</c:v>
                </c:pt>
                <c:pt idx="3">
                  <c:v>Cohort II</c:v>
                </c:pt>
              </c:strCache>
            </c:strRef>
          </c:cat>
          <c:val>
            <c:numRef>
              <c:f>'Component 8'!$C$4:$C$7</c:f>
              <c:numCache>
                <c:formatCode>0.00%</c:formatCode>
                <c:ptCount val="4"/>
                <c:pt idx="0">
                  <c:v>0</c:v>
                </c:pt>
                <c:pt idx="1">
                  <c:v>0</c:v>
                </c:pt>
                <c:pt idx="2">
                  <c:v>7.1399999999999991E-2</c:v>
                </c:pt>
                <c:pt idx="3">
                  <c:v>0</c:v>
                </c:pt>
              </c:numCache>
            </c:numRef>
          </c:val>
          <c:extLst>
            <c:ext xmlns:c16="http://schemas.microsoft.com/office/drawing/2014/chart" uri="{C3380CC4-5D6E-409C-BE32-E72D297353CC}">
              <c16:uniqueId val="{00000001-98DA-3D42-835D-FA53B5E14F41}"/>
            </c:ext>
          </c:extLst>
        </c:ser>
        <c:ser>
          <c:idx val="2"/>
          <c:order val="2"/>
          <c:tx>
            <c:strRef>
              <c:f>'Component 8'!$D$3</c:f>
              <c:strCache>
                <c:ptCount val="1"/>
                <c:pt idx="0">
                  <c:v>Important</c:v>
                </c:pt>
              </c:strCache>
            </c:strRef>
          </c:tx>
          <c:spPr>
            <a:solidFill>
              <a:schemeClr val="accent3"/>
            </a:solidFill>
            <a:ln>
              <a:noFill/>
            </a:ln>
            <a:effectLst/>
          </c:spPr>
          <c:invertIfNegative val="0"/>
          <c:cat>
            <c:strRef>
              <c:f>'Component 8'!$A$4:$A$7</c:f>
              <c:strCache>
                <c:ptCount val="4"/>
                <c:pt idx="0">
                  <c:v>Cohort V</c:v>
                </c:pt>
                <c:pt idx="1">
                  <c:v>Cohort IV</c:v>
                </c:pt>
                <c:pt idx="2">
                  <c:v>Cohort III</c:v>
                </c:pt>
                <c:pt idx="3">
                  <c:v>Cohort II</c:v>
                </c:pt>
              </c:strCache>
            </c:strRef>
          </c:cat>
          <c:val>
            <c:numRef>
              <c:f>'Component 8'!$D$4:$D$7</c:f>
              <c:numCache>
                <c:formatCode>0.00%</c:formatCode>
                <c:ptCount val="4"/>
                <c:pt idx="0">
                  <c:v>0.27779999999999999</c:v>
                </c:pt>
                <c:pt idx="1">
                  <c:v>0.22220000000000001</c:v>
                </c:pt>
                <c:pt idx="2">
                  <c:v>0.28570000000000001</c:v>
                </c:pt>
                <c:pt idx="3">
                  <c:v>7.690000000000001E-2</c:v>
                </c:pt>
              </c:numCache>
            </c:numRef>
          </c:val>
          <c:extLst>
            <c:ext xmlns:c16="http://schemas.microsoft.com/office/drawing/2014/chart" uri="{C3380CC4-5D6E-409C-BE32-E72D297353CC}">
              <c16:uniqueId val="{00000002-98DA-3D42-835D-FA53B5E14F41}"/>
            </c:ext>
          </c:extLst>
        </c:ser>
        <c:ser>
          <c:idx val="3"/>
          <c:order val="3"/>
          <c:tx>
            <c:strRef>
              <c:f>'Component 8'!$E$3</c:f>
              <c:strCache>
                <c:ptCount val="1"/>
                <c:pt idx="0">
                  <c:v>Very important</c:v>
                </c:pt>
              </c:strCache>
            </c:strRef>
          </c:tx>
          <c:spPr>
            <a:solidFill>
              <a:schemeClr val="accent4"/>
            </a:solidFill>
            <a:ln>
              <a:noFill/>
            </a:ln>
            <a:effectLst/>
          </c:spPr>
          <c:invertIfNegative val="0"/>
          <c:cat>
            <c:strRef>
              <c:f>'Component 8'!$A$4:$A$7</c:f>
              <c:strCache>
                <c:ptCount val="4"/>
                <c:pt idx="0">
                  <c:v>Cohort V</c:v>
                </c:pt>
                <c:pt idx="1">
                  <c:v>Cohort IV</c:v>
                </c:pt>
                <c:pt idx="2">
                  <c:v>Cohort III</c:v>
                </c:pt>
                <c:pt idx="3">
                  <c:v>Cohort II</c:v>
                </c:pt>
              </c:strCache>
            </c:strRef>
          </c:cat>
          <c:val>
            <c:numRef>
              <c:f>'Component 8'!$E$4:$E$7</c:f>
              <c:numCache>
                <c:formatCode>0.00%</c:formatCode>
                <c:ptCount val="4"/>
                <c:pt idx="0">
                  <c:v>0.72219999999999995</c:v>
                </c:pt>
                <c:pt idx="1">
                  <c:v>0.77780000000000005</c:v>
                </c:pt>
                <c:pt idx="2">
                  <c:v>0.64290000000000003</c:v>
                </c:pt>
                <c:pt idx="3">
                  <c:v>0.92310000000000003</c:v>
                </c:pt>
              </c:numCache>
            </c:numRef>
          </c:val>
          <c:extLst>
            <c:ext xmlns:c16="http://schemas.microsoft.com/office/drawing/2014/chart" uri="{C3380CC4-5D6E-409C-BE32-E72D297353CC}">
              <c16:uniqueId val="{00000003-98DA-3D42-835D-FA53B5E14F41}"/>
            </c:ext>
          </c:extLst>
        </c:ser>
        <c:dLbls>
          <c:showLegendKey val="0"/>
          <c:showVal val="0"/>
          <c:showCatName val="0"/>
          <c:showSerName val="0"/>
          <c:showPercent val="0"/>
          <c:showBubbleSize val="0"/>
        </c:dLbls>
        <c:gapWidth val="150"/>
        <c:overlap val="100"/>
        <c:axId val="1269978832"/>
        <c:axId val="1270574144"/>
      </c:barChart>
      <c:catAx>
        <c:axId val="1269978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574144"/>
        <c:crosses val="autoZero"/>
        <c:auto val="1"/>
        <c:lblAlgn val="ctr"/>
        <c:lblOffset val="100"/>
        <c:noMultiLvlLbl val="0"/>
      </c:catAx>
      <c:valAx>
        <c:axId val="127057414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9978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Using summative assessment practices in the personalized learning cycle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9'!$B$3</c:f>
              <c:strCache>
                <c:ptCount val="1"/>
                <c:pt idx="0">
                  <c:v>Not important</c:v>
                </c:pt>
              </c:strCache>
            </c:strRef>
          </c:tx>
          <c:spPr>
            <a:solidFill>
              <a:schemeClr val="accent1"/>
            </a:solidFill>
            <a:ln>
              <a:noFill/>
            </a:ln>
            <a:effectLst/>
          </c:spPr>
          <c:invertIfNegative val="0"/>
          <c:cat>
            <c:strRef>
              <c:f>'Component 9'!$A$4:$A$7</c:f>
              <c:strCache>
                <c:ptCount val="4"/>
                <c:pt idx="0">
                  <c:v>Cohort V</c:v>
                </c:pt>
                <c:pt idx="1">
                  <c:v>Cohort IV</c:v>
                </c:pt>
                <c:pt idx="2">
                  <c:v>Cohort III</c:v>
                </c:pt>
                <c:pt idx="3">
                  <c:v>Cohort II</c:v>
                </c:pt>
              </c:strCache>
            </c:strRef>
          </c:cat>
          <c:val>
            <c:numRef>
              <c:f>'Component 9'!$B$4:$B$7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1E8F-3141-9E8B-85E2F566B710}"/>
            </c:ext>
          </c:extLst>
        </c:ser>
        <c:ser>
          <c:idx val="1"/>
          <c:order val="1"/>
          <c:tx>
            <c:strRef>
              <c:f>'Component 9'!$C$3</c:f>
              <c:strCache>
                <c:ptCount val="1"/>
                <c:pt idx="0">
                  <c:v>Somewhat important</c:v>
                </c:pt>
              </c:strCache>
            </c:strRef>
          </c:tx>
          <c:spPr>
            <a:solidFill>
              <a:schemeClr val="accent2"/>
            </a:solidFill>
            <a:ln>
              <a:noFill/>
            </a:ln>
            <a:effectLst/>
          </c:spPr>
          <c:invertIfNegative val="0"/>
          <c:cat>
            <c:strRef>
              <c:f>'Component 9'!$A$4:$A$7</c:f>
              <c:strCache>
                <c:ptCount val="4"/>
                <c:pt idx="0">
                  <c:v>Cohort V</c:v>
                </c:pt>
                <c:pt idx="1">
                  <c:v>Cohort IV</c:v>
                </c:pt>
                <c:pt idx="2">
                  <c:v>Cohort III</c:v>
                </c:pt>
                <c:pt idx="3">
                  <c:v>Cohort II</c:v>
                </c:pt>
              </c:strCache>
            </c:strRef>
          </c:cat>
          <c:val>
            <c:numRef>
              <c:f>'Component 9'!$C$4:$C$7</c:f>
              <c:numCache>
                <c:formatCode>0.00%</c:formatCode>
                <c:ptCount val="4"/>
                <c:pt idx="0">
                  <c:v>0.1111</c:v>
                </c:pt>
                <c:pt idx="1">
                  <c:v>0</c:v>
                </c:pt>
                <c:pt idx="2">
                  <c:v>7.1399999999999991E-2</c:v>
                </c:pt>
                <c:pt idx="3">
                  <c:v>7.690000000000001E-2</c:v>
                </c:pt>
              </c:numCache>
            </c:numRef>
          </c:val>
          <c:extLst>
            <c:ext xmlns:c16="http://schemas.microsoft.com/office/drawing/2014/chart" uri="{C3380CC4-5D6E-409C-BE32-E72D297353CC}">
              <c16:uniqueId val="{00000001-1E8F-3141-9E8B-85E2F566B710}"/>
            </c:ext>
          </c:extLst>
        </c:ser>
        <c:ser>
          <c:idx val="2"/>
          <c:order val="2"/>
          <c:tx>
            <c:strRef>
              <c:f>'Component 9'!$D$3</c:f>
              <c:strCache>
                <c:ptCount val="1"/>
                <c:pt idx="0">
                  <c:v>Important</c:v>
                </c:pt>
              </c:strCache>
            </c:strRef>
          </c:tx>
          <c:spPr>
            <a:solidFill>
              <a:schemeClr val="accent3"/>
            </a:solidFill>
            <a:ln>
              <a:noFill/>
            </a:ln>
            <a:effectLst/>
          </c:spPr>
          <c:invertIfNegative val="0"/>
          <c:cat>
            <c:strRef>
              <c:f>'Component 9'!$A$4:$A$7</c:f>
              <c:strCache>
                <c:ptCount val="4"/>
                <c:pt idx="0">
                  <c:v>Cohort V</c:v>
                </c:pt>
                <c:pt idx="1">
                  <c:v>Cohort IV</c:v>
                </c:pt>
                <c:pt idx="2">
                  <c:v>Cohort III</c:v>
                </c:pt>
                <c:pt idx="3">
                  <c:v>Cohort II</c:v>
                </c:pt>
              </c:strCache>
            </c:strRef>
          </c:cat>
          <c:val>
            <c:numRef>
              <c:f>'Component 9'!$D$4:$D$7</c:f>
              <c:numCache>
                <c:formatCode>0.00%</c:formatCode>
                <c:ptCount val="4"/>
                <c:pt idx="0">
                  <c:v>0.27779999999999999</c:v>
                </c:pt>
                <c:pt idx="1">
                  <c:v>0.5</c:v>
                </c:pt>
                <c:pt idx="2">
                  <c:v>0.57140000000000002</c:v>
                </c:pt>
                <c:pt idx="3">
                  <c:v>0.23080000000000001</c:v>
                </c:pt>
              </c:numCache>
            </c:numRef>
          </c:val>
          <c:extLst>
            <c:ext xmlns:c16="http://schemas.microsoft.com/office/drawing/2014/chart" uri="{C3380CC4-5D6E-409C-BE32-E72D297353CC}">
              <c16:uniqueId val="{00000002-1E8F-3141-9E8B-85E2F566B710}"/>
            </c:ext>
          </c:extLst>
        </c:ser>
        <c:ser>
          <c:idx val="3"/>
          <c:order val="3"/>
          <c:tx>
            <c:strRef>
              <c:f>'Component 9'!$E$3</c:f>
              <c:strCache>
                <c:ptCount val="1"/>
                <c:pt idx="0">
                  <c:v>Very important</c:v>
                </c:pt>
              </c:strCache>
            </c:strRef>
          </c:tx>
          <c:spPr>
            <a:solidFill>
              <a:schemeClr val="accent4"/>
            </a:solidFill>
            <a:ln>
              <a:noFill/>
            </a:ln>
            <a:effectLst/>
          </c:spPr>
          <c:invertIfNegative val="0"/>
          <c:cat>
            <c:strRef>
              <c:f>'Component 9'!$A$4:$A$7</c:f>
              <c:strCache>
                <c:ptCount val="4"/>
                <c:pt idx="0">
                  <c:v>Cohort V</c:v>
                </c:pt>
                <c:pt idx="1">
                  <c:v>Cohort IV</c:v>
                </c:pt>
                <c:pt idx="2">
                  <c:v>Cohort III</c:v>
                </c:pt>
                <c:pt idx="3">
                  <c:v>Cohort II</c:v>
                </c:pt>
              </c:strCache>
            </c:strRef>
          </c:cat>
          <c:val>
            <c:numRef>
              <c:f>'Component 9'!$E$4:$E$7</c:f>
              <c:numCache>
                <c:formatCode>0.00%</c:formatCode>
                <c:ptCount val="4"/>
                <c:pt idx="0">
                  <c:v>0.61109999999999998</c:v>
                </c:pt>
                <c:pt idx="1">
                  <c:v>0.5</c:v>
                </c:pt>
                <c:pt idx="2">
                  <c:v>0.35709999999999997</c:v>
                </c:pt>
                <c:pt idx="3">
                  <c:v>0.69230000000000003</c:v>
                </c:pt>
              </c:numCache>
            </c:numRef>
          </c:val>
          <c:extLst>
            <c:ext xmlns:c16="http://schemas.microsoft.com/office/drawing/2014/chart" uri="{C3380CC4-5D6E-409C-BE32-E72D297353CC}">
              <c16:uniqueId val="{00000003-1E8F-3141-9E8B-85E2F566B710}"/>
            </c:ext>
          </c:extLst>
        </c:ser>
        <c:dLbls>
          <c:showLegendKey val="0"/>
          <c:showVal val="0"/>
          <c:showCatName val="0"/>
          <c:showSerName val="0"/>
          <c:showPercent val="0"/>
          <c:showBubbleSize val="0"/>
        </c:dLbls>
        <c:gapWidth val="150"/>
        <c:overlap val="100"/>
        <c:axId val="1495196959"/>
        <c:axId val="1495040351"/>
      </c:barChart>
      <c:catAx>
        <c:axId val="14951969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040351"/>
        <c:crosses val="autoZero"/>
        <c:auto val="1"/>
        <c:lblAlgn val="ctr"/>
        <c:lblOffset val="100"/>
        <c:noMultiLvlLbl val="0"/>
      </c:catAx>
      <c:valAx>
        <c:axId val="1495040351"/>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1969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Employing student self- and peer-assessment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10'!$B$3</c:f>
              <c:strCache>
                <c:ptCount val="1"/>
                <c:pt idx="0">
                  <c:v>Not important</c:v>
                </c:pt>
              </c:strCache>
            </c:strRef>
          </c:tx>
          <c:spPr>
            <a:solidFill>
              <a:schemeClr val="accent1"/>
            </a:solidFill>
            <a:ln>
              <a:noFill/>
            </a:ln>
            <a:effectLst/>
          </c:spPr>
          <c:invertIfNegative val="0"/>
          <c:cat>
            <c:strRef>
              <c:f>'Component 10'!$A$4:$A$7</c:f>
              <c:strCache>
                <c:ptCount val="4"/>
                <c:pt idx="0">
                  <c:v>Cohort V</c:v>
                </c:pt>
                <c:pt idx="1">
                  <c:v>Cohort IV</c:v>
                </c:pt>
                <c:pt idx="2">
                  <c:v>Cohort III</c:v>
                </c:pt>
                <c:pt idx="3">
                  <c:v>Cohort II</c:v>
                </c:pt>
              </c:strCache>
            </c:strRef>
          </c:cat>
          <c:val>
            <c:numRef>
              <c:f>'Component 10'!$B$4:$B$7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3E0F-084F-98A4-BB0A1314DBD8}"/>
            </c:ext>
          </c:extLst>
        </c:ser>
        <c:ser>
          <c:idx val="1"/>
          <c:order val="1"/>
          <c:tx>
            <c:strRef>
              <c:f>'Component 10'!$C$3</c:f>
              <c:strCache>
                <c:ptCount val="1"/>
                <c:pt idx="0">
                  <c:v>Somewhat important</c:v>
                </c:pt>
              </c:strCache>
            </c:strRef>
          </c:tx>
          <c:spPr>
            <a:solidFill>
              <a:schemeClr val="accent2"/>
            </a:solidFill>
            <a:ln>
              <a:noFill/>
            </a:ln>
            <a:effectLst/>
          </c:spPr>
          <c:invertIfNegative val="0"/>
          <c:cat>
            <c:strRef>
              <c:f>'Component 10'!$A$4:$A$7</c:f>
              <c:strCache>
                <c:ptCount val="4"/>
                <c:pt idx="0">
                  <c:v>Cohort V</c:v>
                </c:pt>
                <c:pt idx="1">
                  <c:v>Cohort IV</c:v>
                </c:pt>
                <c:pt idx="2">
                  <c:v>Cohort III</c:v>
                </c:pt>
                <c:pt idx="3">
                  <c:v>Cohort II</c:v>
                </c:pt>
              </c:strCache>
            </c:strRef>
          </c:cat>
          <c:val>
            <c:numRef>
              <c:f>'Component 10'!$C$4:$C$7</c:f>
              <c:numCache>
                <c:formatCode>0.00%</c:formatCode>
                <c:ptCount val="4"/>
                <c:pt idx="0">
                  <c:v>0</c:v>
                </c:pt>
                <c:pt idx="1">
                  <c:v>5.5599999999999997E-2</c:v>
                </c:pt>
                <c:pt idx="2">
                  <c:v>7.1399999999999991E-2</c:v>
                </c:pt>
                <c:pt idx="3">
                  <c:v>7.690000000000001E-2</c:v>
                </c:pt>
              </c:numCache>
            </c:numRef>
          </c:val>
          <c:extLst>
            <c:ext xmlns:c16="http://schemas.microsoft.com/office/drawing/2014/chart" uri="{C3380CC4-5D6E-409C-BE32-E72D297353CC}">
              <c16:uniqueId val="{00000001-3E0F-084F-98A4-BB0A1314DBD8}"/>
            </c:ext>
          </c:extLst>
        </c:ser>
        <c:ser>
          <c:idx val="2"/>
          <c:order val="2"/>
          <c:tx>
            <c:strRef>
              <c:f>'Component 10'!$D$3</c:f>
              <c:strCache>
                <c:ptCount val="1"/>
                <c:pt idx="0">
                  <c:v>Important</c:v>
                </c:pt>
              </c:strCache>
            </c:strRef>
          </c:tx>
          <c:spPr>
            <a:solidFill>
              <a:schemeClr val="accent3"/>
            </a:solidFill>
            <a:ln>
              <a:noFill/>
            </a:ln>
            <a:effectLst/>
          </c:spPr>
          <c:invertIfNegative val="0"/>
          <c:cat>
            <c:strRef>
              <c:f>'Component 10'!$A$4:$A$7</c:f>
              <c:strCache>
                <c:ptCount val="4"/>
                <c:pt idx="0">
                  <c:v>Cohort V</c:v>
                </c:pt>
                <c:pt idx="1">
                  <c:v>Cohort IV</c:v>
                </c:pt>
                <c:pt idx="2">
                  <c:v>Cohort III</c:v>
                </c:pt>
                <c:pt idx="3">
                  <c:v>Cohort II</c:v>
                </c:pt>
              </c:strCache>
            </c:strRef>
          </c:cat>
          <c:val>
            <c:numRef>
              <c:f>'Component 10'!$D$4:$D$7</c:f>
              <c:numCache>
                <c:formatCode>0.00%</c:formatCode>
                <c:ptCount val="4"/>
                <c:pt idx="0">
                  <c:v>0.33329999999999999</c:v>
                </c:pt>
                <c:pt idx="1">
                  <c:v>0.55559999999999998</c:v>
                </c:pt>
                <c:pt idx="2">
                  <c:v>0.5</c:v>
                </c:pt>
                <c:pt idx="3">
                  <c:v>0.23080000000000001</c:v>
                </c:pt>
              </c:numCache>
            </c:numRef>
          </c:val>
          <c:extLst>
            <c:ext xmlns:c16="http://schemas.microsoft.com/office/drawing/2014/chart" uri="{C3380CC4-5D6E-409C-BE32-E72D297353CC}">
              <c16:uniqueId val="{00000002-3E0F-084F-98A4-BB0A1314DBD8}"/>
            </c:ext>
          </c:extLst>
        </c:ser>
        <c:ser>
          <c:idx val="3"/>
          <c:order val="3"/>
          <c:tx>
            <c:strRef>
              <c:f>'Component 10'!$E$3</c:f>
              <c:strCache>
                <c:ptCount val="1"/>
                <c:pt idx="0">
                  <c:v>Very important</c:v>
                </c:pt>
              </c:strCache>
            </c:strRef>
          </c:tx>
          <c:spPr>
            <a:solidFill>
              <a:schemeClr val="accent4"/>
            </a:solidFill>
            <a:ln>
              <a:noFill/>
            </a:ln>
            <a:effectLst/>
          </c:spPr>
          <c:invertIfNegative val="0"/>
          <c:cat>
            <c:strRef>
              <c:f>'Component 10'!$A$4:$A$7</c:f>
              <c:strCache>
                <c:ptCount val="4"/>
                <c:pt idx="0">
                  <c:v>Cohort V</c:v>
                </c:pt>
                <c:pt idx="1">
                  <c:v>Cohort IV</c:v>
                </c:pt>
                <c:pt idx="2">
                  <c:v>Cohort III</c:v>
                </c:pt>
                <c:pt idx="3">
                  <c:v>Cohort II</c:v>
                </c:pt>
              </c:strCache>
            </c:strRef>
          </c:cat>
          <c:val>
            <c:numRef>
              <c:f>'Component 10'!$E$4:$E$7</c:f>
              <c:numCache>
                <c:formatCode>0.00%</c:formatCode>
                <c:ptCount val="4"/>
                <c:pt idx="0">
                  <c:v>0.66670000000000007</c:v>
                </c:pt>
                <c:pt idx="1">
                  <c:v>0.38890000000000002</c:v>
                </c:pt>
                <c:pt idx="2">
                  <c:v>0.42859999999999998</c:v>
                </c:pt>
                <c:pt idx="3">
                  <c:v>0.69230000000000003</c:v>
                </c:pt>
              </c:numCache>
            </c:numRef>
          </c:val>
          <c:extLst>
            <c:ext xmlns:c16="http://schemas.microsoft.com/office/drawing/2014/chart" uri="{C3380CC4-5D6E-409C-BE32-E72D297353CC}">
              <c16:uniqueId val="{00000003-3E0F-084F-98A4-BB0A1314DBD8}"/>
            </c:ext>
          </c:extLst>
        </c:ser>
        <c:dLbls>
          <c:showLegendKey val="0"/>
          <c:showVal val="0"/>
          <c:showCatName val="0"/>
          <c:showSerName val="0"/>
          <c:showPercent val="0"/>
          <c:showBubbleSize val="0"/>
        </c:dLbls>
        <c:gapWidth val="150"/>
        <c:overlap val="100"/>
        <c:axId val="289540176"/>
        <c:axId val="64047056"/>
      </c:barChart>
      <c:catAx>
        <c:axId val="289540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047056"/>
        <c:crosses val="autoZero"/>
        <c:auto val="1"/>
        <c:lblAlgn val="ctr"/>
        <c:lblOffset val="100"/>
        <c:noMultiLvlLbl val="0"/>
      </c:catAx>
      <c:valAx>
        <c:axId val="64047056"/>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540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Constructing or administering performance assessments that facilitate the transfer of knowledge to challenging new contexts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11'!$B$3</c:f>
              <c:strCache>
                <c:ptCount val="1"/>
                <c:pt idx="0">
                  <c:v>Not important</c:v>
                </c:pt>
              </c:strCache>
            </c:strRef>
          </c:tx>
          <c:spPr>
            <a:solidFill>
              <a:schemeClr val="accent1"/>
            </a:solidFill>
            <a:ln>
              <a:noFill/>
            </a:ln>
            <a:effectLst/>
          </c:spPr>
          <c:invertIfNegative val="0"/>
          <c:cat>
            <c:strRef>
              <c:f>'Component 11'!$A$4:$A$7</c:f>
              <c:strCache>
                <c:ptCount val="4"/>
                <c:pt idx="0">
                  <c:v>Cohort V</c:v>
                </c:pt>
                <c:pt idx="1">
                  <c:v>Cohort IV</c:v>
                </c:pt>
                <c:pt idx="2">
                  <c:v>Cohort III</c:v>
                </c:pt>
                <c:pt idx="3">
                  <c:v>Cohort II</c:v>
                </c:pt>
              </c:strCache>
            </c:strRef>
          </c:cat>
          <c:val>
            <c:numRef>
              <c:f>'Component 11'!$B$4:$B$7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8B4E-FB4E-A184-0D627D72FAFD}"/>
            </c:ext>
          </c:extLst>
        </c:ser>
        <c:ser>
          <c:idx val="1"/>
          <c:order val="1"/>
          <c:tx>
            <c:strRef>
              <c:f>'Component 11'!$C$3</c:f>
              <c:strCache>
                <c:ptCount val="1"/>
                <c:pt idx="0">
                  <c:v>Somewhat important</c:v>
                </c:pt>
              </c:strCache>
            </c:strRef>
          </c:tx>
          <c:spPr>
            <a:solidFill>
              <a:schemeClr val="accent2"/>
            </a:solidFill>
            <a:ln>
              <a:noFill/>
            </a:ln>
            <a:effectLst/>
          </c:spPr>
          <c:invertIfNegative val="0"/>
          <c:cat>
            <c:strRef>
              <c:f>'Component 11'!$A$4:$A$7</c:f>
              <c:strCache>
                <c:ptCount val="4"/>
                <c:pt idx="0">
                  <c:v>Cohort V</c:v>
                </c:pt>
                <c:pt idx="1">
                  <c:v>Cohort IV</c:v>
                </c:pt>
                <c:pt idx="2">
                  <c:v>Cohort III</c:v>
                </c:pt>
                <c:pt idx="3">
                  <c:v>Cohort II</c:v>
                </c:pt>
              </c:strCache>
            </c:strRef>
          </c:cat>
          <c:val>
            <c:numRef>
              <c:f>'Component 11'!$C$4:$C$7</c:f>
              <c:numCache>
                <c:formatCode>0.00%</c:formatCode>
                <c:ptCount val="4"/>
                <c:pt idx="0">
                  <c:v>0</c:v>
                </c:pt>
                <c:pt idx="1">
                  <c:v>5.5599999999999997E-2</c:v>
                </c:pt>
                <c:pt idx="2">
                  <c:v>7.1399999999999991E-2</c:v>
                </c:pt>
                <c:pt idx="3">
                  <c:v>0.15379999999999999</c:v>
                </c:pt>
              </c:numCache>
            </c:numRef>
          </c:val>
          <c:extLst>
            <c:ext xmlns:c16="http://schemas.microsoft.com/office/drawing/2014/chart" uri="{C3380CC4-5D6E-409C-BE32-E72D297353CC}">
              <c16:uniqueId val="{00000001-8B4E-FB4E-A184-0D627D72FAFD}"/>
            </c:ext>
          </c:extLst>
        </c:ser>
        <c:ser>
          <c:idx val="2"/>
          <c:order val="2"/>
          <c:tx>
            <c:strRef>
              <c:f>'Component 11'!$D$3</c:f>
              <c:strCache>
                <c:ptCount val="1"/>
                <c:pt idx="0">
                  <c:v>Important</c:v>
                </c:pt>
              </c:strCache>
            </c:strRef>
          </c:tx>
          <c:spPr>
            <a:solidFill>
              <a:schemeClr val="accent3"/>
            </a:solidFill>
            <a:ln>
              <a:noFill/>
            </a:ln>
            <a:effectLst/>
          </c:spPr>
          <c:invertIfNegative val="0"/>
          <c:cat>
            <c:strRef>
              <c:f>'Component 11'!$A$4:$A$7</c:f>
              <c:strCache>
                <c:ptCount val="4"/>
                <c:pt idx="0">
                  <c:v>Cohort V</c:v>
                </c:pt>
                <c:pt idx="1">
                  <c:v>Cohort IV</c:v>
                </c:pt>
                <c:pt idx="2">
                  <c:v>Cohort III</c:v>
                </c:pt>
                <c:pt idx="3">
                  <c:v>Cohort II</c:v>
                </c:pt>
              </c:strCache>
            </c:strRef>
          </c:cat>
          <c:val>
            <c:numRef>
              <c:f>'Component 11'!$D$4:$D$7</c:f>
              <c:numCache>
                <c:formatCode>0.00%</c:formatCode>
                <c:ptCount val="4"/>
                <c:pt idx="0">
                  <c:v>0.22220000000000001</c:v>
                </c:pt>
                <c:pt idx="1">
                  <c:v>0.33329999999999999</c:v>
                </c:pt>
                <c:pt idx="2">
                  <c:v>0.35709999999999997</c:v>
                </c:pt>
                <c:pt idx="3">
                  <c:v>0</c:v>
                </c:pt>
              </c:numCache>
            </c:numRef>
          </c:val>
          <c:extLst>
            <c:ext xmlns:c16="http://schemas.microsoft.com/office/drawing/2014/chart" uri="{C3380CC4-5D6E-409C-BE32-E72D297353CC}">
              <c16:uniqueId val="{00000002-8B4E-FB4E-A184-0D627D72FAFD}"/>
            </c:ext>
          </c:extLst>
        </c:ser>
        <c:ser>
          <c:idx val="3"/>
          <c:order val="3"/>
          <c:tx>
            <c:strRef>
              <c:f>'Component 11'!$E$3</c:f>
              <c:strCache>
                <c:ptCount val="1"/>
                <c:pt idx="0">
                  <c:v>Very important</c:v>
                </c:pt>
              </c:strCache>
            </c:strRef>
          </c:tx>
          <c:spPr>
            <a:solidFill>
              <a:schemeClr val="accent4"/>
            </a:solidFill>
            <a:ln>
              <a:noFill/>
            </a:ln>
            <a:effectLst/>
          </c:spPr>
          <c:invertIfNegative val="0"/>
          <c:cat>
            <c:strRef>
              <c:f>'Component 11'!$A$4:$A$7</c:f>
              <c:strCache>
                <c:ptCount val="4"/>
                <c:pt idx="0">
                  <c:v>Cohort V</c:v>
                </c:pt>
                <c:pt idx="1">
                  <c:v>Cohort IV</c:v>
                </c:pt>
                <c:pt idx="2">
                  <c:v>Cohort III</c:v>
                </c:pt>
                <c:pt idx="3">
                  <c:v>Cohort II</c:v>
                </c:pt>
              </c:strCache>
            </c:strRef>
          </c:cat>
          <c:val>
            <c:numRef>
              <c:f>'Component 11'!$E$4:$E$7</c:f>
              <c:numCache>
                <c:formatCode>0.00%</c:formatCode>
                <c:ptCount val="4"/>
                <c:pt idx="0">
                  <c:v>0.77780000000000005</c:v>
                </c:pt>
                <c:pt idx="1">
                  <c:v>0.61109999999999998</c:v>
                </c:pt>
                <c:pt idx="2">
                  <c:v>0.57140000000000002</c:v>
                </c:pt>
                <c:pt idx="3">
                  <c:v>0.84620000000000006</c:v>
                </c:pt>
              </c:numCache>
            </c:numRef>
          </c:val>
          <c:extLst>
            <c:ext xmlns:c16="http://schemas.microsoft.com/office/drawing/2014/chart" uri="{C3380CC4-5D6E-409C-BE32-E72D297353CC}">
              <c16:uniqueId val="{00000003-8B4E-FB4E-A184-0D627D72FAFD}"/>
            </c:ext>
          </c:extLst>
        </c:ser>
        <c:dLbls>
          <c:showLegendKey val="0"/>
          <c:showVal val="0"/>
          <c:showCatName val="0"/>
          <c:showSerName val="0"/>
          <c:showPercent val="0"/>
          <c:showBubbleSize val="0"/>
        </c:dLbls>
        <c:gapWidth val="150"/>
        <c:overlap val="100"/>
        <c:axId val="1218800800"/>
        <c:axId val="1218818096"/>
      </c:barChart>
      <c:catAx>
        <c:axId val="1218800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8818096"/>
        <c:crosses val="autoZero"/>
        <c:auto val="1"/>
        <c:lblAlgn val="ctr"/>
        <c:lblOffset val="100"/>
        <c:noMultiLvlLbl val="0"/>
      </c:catAx>
      <c:valAx>
        <c:axId val="1218818096"/>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8800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Working with students to clarify next steps for their individualized learning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12'!$B$3</c:f>
              <c:strCache>
                <c:ptCount val="1"/>
                <c:pt idx="0">
                  <c:v>Not important</c:v>
                </c:pt>
              </c:strCache>
            </c:strRef>
          </c:tx>
          <c:spPr>
            <a:solidFill>
              <a:schemeClr val="accent1"/>
            </a:solidFill>
            <a:ln>
              <a:noFill/>
            </a:ln>
            <a:effectLst/>
          </c:spPr>
          <c:invertIfNegative val="0"/>
          <c:cat>
            <c:strRef>
              <c:f>'Component 12'!$A$4:$A$7</c:f>
              <c:strCache>
                <c:ptCount val="4"/>
                <c:pt idx="0">
                  <c:v>Cohort V</c:v>
                </c:pt>
                <c:pt idx="1">
                  <c:v>Cohort IV</c:v>
                </c:pt>
                <c:pt idx="2">
                  <c:v>Cohort III</c:v>
                </c:pt>
                <c:pt idx="3">
                  <c:v>Cohort II</c:v>
                </c:pt>
              </c:strCache>
            </c:strRef>
          </c:cat>
          <c:val>
            <c:numRef>
              <c:f>'Component 12'!$B$4:$B$7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FA27-7E40-9392-DEED4B827901}"/>
            </c:ext>
          </c:extLst>
        </c:ser>
        <c:ser>
          <c:idx val="1"/>
          <c:order val="1"/>
          <c:tx>
            <c:strRef>
              <c:f>'Component 12'!$C$3</c:f>
              <c:strCache>
                <c:ptCount val="1"/>
                <c:pt idx="0">
                  <c:v>Somewhat important</c:v>
                </c:pt>
              </c:strCache>
            </c:strRef>
          </c:tx>
          <c:spPr>
            <a:solidFill>
              <a:schemeClr val="accent2"/>
            </a:solidFill>
            <a:ln>
              <a:noFill/>
            </a:ln>
            <a:effectLst/>
          </c:spPr>
          <c:invertIfNegative val="0"/>
          <c:cat>
            <c:strRef>
              <c:f>'Component 12'!$A$4:$A$7</c:f>
              <c:strCache>
                <c:ptCount val="4"/>
                <c:pt idx="0">
                  <c:v>Cohort V</c:v>
                </c:pt>
                <c:pt idx="1">
                  <c:v>Cohort IV</c:v>
                </c:pt>
                <c:pt idx="2">
                  <c:v>Cohort III</c:v>
                </c:pt>
                <c:pt idx="3">
                  <c:v>Cohort II</c:v>
                </c:pt>
              </c:strCache>
            </c:strRef>
          </c:cat>
          <c:val>
            <c:numRef>
              <c:f>'Component 12'!$C$4:$C$7</c:f>
              <c:numCache>
                <c:formatCode>0.00%</c:formatCode>
                <c:ptCount val="4"/>
                <c:pt idx="0">
                  <c:v>0</c:v>
                </c:pt>
                <c:pt idx="1">
                  <c:v>0</c:v>
                </c:pt>
                <c:pt idx="2">
                  <c:v>7.1399999999999991E-2</c:v>
                </c:pt>
                <c:pt idx="3">
                  <c:v>0</c:v>
                </c:pt>
              </c:numCache>
            </c:numRef>
          </c:val>
          <c:extLst>
            <c:ext xmlns:c16="http://schemas.microsoft.com/office/drawing/2014/chart" uri="{C3380CC4-5D6E-409C-BE32-E72D297353CC}">
              <c16:uniqueId val="{00000001-FA27-7E40-9392-DEED4B827901}"/>
            </c:ext>
          </c:extLst>
        </c:ser>
        <c:ser>
          <c:idx val="2"/>
          <c:order val="2"/>
          <c:tx>
            <c:strRef>
              <c:f>'Component 12'!$D$3</c:f>
              <c:strCache>
                <c:ptCount val="1"/>
                <c:pt idx="0">
                  <c:v>Important</c:v>
                </c:pt>
              </c:strCache>
            </c:strRef>
          </c:tx>
          <c:spPr>
            <a:solidFill>
              <a:schemeClr val="accent3"/>
            </a:solidFill>
            <a:ln>
              <a:noFill/>
            </a:ln>
            <a:effectLst/>
          </c:spPr>
          <c:invertIfNegative val="0"/>
          <c:cat>
            <c:strRef>
              <c:f>'Component 12'!$A$4:$A$7</c:f>
              <c:strCache>
                <c:ptCount val="4"/>
                <c:pt idx="0">
                  <c:v>Cohort V</c:v>
                </c:pt>
                <c:pt idx="1">
                  <c:v>Cohort IV</c:v>
                </c:pt>
                <c:pt idx="2">
                  <c:v>Cohort III</c:v>
                </c:pt>
                <c:pt idx="3">
                  <c:v>Cohort II</c:v>
                </c:pt>
              </c:strCache>
            </c:strRef>
          </c:cat>
          <c:val>
            <c:numRef>
              <c:f>'Component 12'!$D$4:$D$7</c:f>
              <c:numCache>
                <c:formatCode>0.00%</c:formatCode>
                <c:ptCount val="4"/>
                <c:pt idx="0">
                  <c:v>0.38890000000000002</c:v>
                </c:pt>
                <c:pt idx="1">
                  <c:v>0.38890000000000002</c:v>
                </c:pt>
                <c:pt idx="2">
                  <c:v>0.42859999999999998</c:v>
                </c:pt>
                <c:pt idx="3">
                  <c:v>0.23080000000000001</c:v>
                </c:pt>
              </c:numCache>
            </c:numRef>
          </c:val>
          <c:extLst>
            <c:ext xmlns:c16="http://schemas.microsoft.com/office/drawing/2014/chart" uri="{C3380CC4-5D6E-409C-BE32-E72D297353CC}">
              <c16:uniqueId val="{00000002-FA27-7E40-9392-DEED4B827901}"/>
            </c:ext>
          </c:extLst>
        </c:ser>
        <c:ser>
          <c:idx val="3"/>
          <c:order val="3"/>
          <c:tx>
            <c:strRef>
              <c:f>'Component 12'!$E$3</c:f>
              <c:strCache>
                <c:ptCount val="1"/>
                <c:pt idx="0">
                  <c:v>Very important</c:v>
                </c:pt>
              </c:strCache>
            </c:strRef>
          </c:tx>
          <c:spPr>
            <a:solidFill>
              <a:schemeClr val="accent4"/>
            </a:solidFill>
            <a:ln>
              <a:noFill/>
            </a:ln>
            <a:effectLst/>
          </c:spPr>
          <c:invertIfNegative val="0"/>
          <c:cat>
            <c:strRef>
              <c:f>'Component 12'!$A$4:$A$7</c:f>
              <c:strCache>
                <c:ptCount val="4"/>
                <c:pt idx="0">
                  <c:v>Cohort V</c:v>
                </c:pt>
                <c:pt idx="1">
                  <c:v>Cohort IV</c:v>
                </c:pt>
                <c:pt idx="2">
                  <c:v>Cohort III</c:v>
                </c:pt>
                <c:pt idx="3">
                  <c:v>Cohort II</c:v>
                </c:pt>
              </c:strCache>
            </c:strRef>
          </c:cat>
          <c:val>
            <c:numRef>
              <c:f>'Component 12'!$E$4:$E$7</c:f>
              <c:numCache>
                <c:formatCode>0.00%</c:formatCode>
                <c:ptCount val="4"/>
                <c:pt idx="0">
                  <c:v>0.61109999999999998</c:v>
                </c:pt>
                <c:pt idx="1">
                  <c:v>0.61109999999999998</c:v>
                </c:pt>
                <c:pt idx="2">
                  <c:v>0.5</c:v>
                </c:pt>
                <c:pt idx="3">
                  <c:v>0.76919999999999999</c:v>
                </c:pt>
              </c:numCache>
            </c:numRef>
          </c:val>
          <c:extLst>
            <c:ext xmlns:c16="http://schemas.microsoft.com/office/drawing/2014/chart" uri="{C3380CC4-5D6E-409C-BE32-E72D297353CC}">
              <c16:uniqueId val="{00000003-FA27-7E40-9392-DEED4B827901}"/>
            </c:ext>
          </c:extLst>
        </c:ser>
        <c:dLbls>
          <c:showLegendKey val="0"/>
          <c:showVal val="0"/>
          <c:showCatName val="0"/>
          <c:showSerName val="0"/>
          <c:showPercent val="0"/>
          <c:showBubbleSize val="0"/>
        </c:dLbls>
        <c:gapWidth val="150"/>
        <c:overlap val="100"/>
        <c:axId val="368692016"/>
        <c:axId val="368354224"/>
      </c:barChart>
      <c:catAx>
        <c:axId val="368692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354224"/>
        <c:crosses val="autoZero"/>
        <c:auto val="1"/>
        <c:lblAlgn val="ctr"/>
        <c:lblOffset val="100"/>
        <c:noMultiLvlLbl val="0"/>
      </c:catAx>
      <c:valAx>
        <c:axId val="36835422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692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Using student assessment information to plan for my own professional learning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13'!$B$3</c:f>
              <c:strCache>
                <c:ptCount val="1"/>
                <c:pt idx="0">
                  <c:v>Not important</c:v>
                </c:pt>
              </c:strCache>
            </c:strRef>
          </c:tx>
          <c:spPr>
            <a:solidFill>
              <a:schemeClr val="accent1"/>
            </a:solidFill>
            <a:ln>
              <a:noFill/>
            </a:ln>
            <a:effectLst/>
          </c:spPr>
          <c:invertIfNegative val="0"/>
          <c:cat>
            <c:strRef>
              <c:f>'Component 13'!$A$4:$A$7</c:f>
              <c:strCache>
                <c:ptCount val="4"/>
                <c:pt idx="0">
                  <c:v>Cohort V</c:v>
                </c:pt>
                <c:pt idx="1">
                  <c:v>Cohort IV</c:v>
                </c:pt>
                <c:pt idx="2">
                  <c:v>Cohort III</c:v>
                </c:pt>
                <c:pt idx="3">
                  <c:v>Cohort II</c:v>
                </c:pt>
              </c:strCache>
            </c:strRef>
          </c:cat>
          <c:val>
            <c:numRef>
              <c:f>'Component 13'!$B$4:$B$7</c:f>
              <c:numCache>
                <c:formatCode>0.00%</c:formatCode>
                <c:ptCount val="4"/>
                <c:pt idx="0">
                  <c:v>0</c:v>
                </c:pt>
                <c:pt idx="1">
                  <c:v>0</c:v>
                </c:pt>
                <c:pt idx="2">
                  <c:v>7.1399999999999991E-2</c:v>
                </c:pt>
                <c:pt idx="3">
                  <c:v>0</c:v>
                </c:pt>
              </c:numCache>
            </c:numRef>
          </c:val>
          <c:extLst>
            <c:ext xmlns:c16="http://schemas.microsoft.com/office/drawing/2014/chart" uri="{C3380CC4-5D6E-409C-BE32-E72D297353CC}">
              <c16:uniqueId val="{00000000-47DD-8C46-A23B-AA3E5592CC50}"/>
            </c:ext>
          </c:extLst>
        </c:ser>
        <c:ser>
          <c:idx val="1"/>
          <c:order val="1"/>
          <c:tx>
            <c:strRef>
              <c:f>'Component 13'!$C$3</c:f>
              <c:strCache>
                <c:ptCount val="1"/>
                <c:pt idx="0">
                  <c:v>Somewhat important</c:v>
                </c:pt>
              </c:strCache>
            </c:strRef>
          </c:tx>
          <c:spPr>
            <a:solidFill>
              <a:schemeClr val="accent2"/>
            </a:solidFill>
            <a:ln>
              <a:noFill/>
            </a:ln>
            <a:effectLst/>
          </c:spPr>
          <c:invertIfNegative val="0"/>
          <c:cat>
            <c:strRef>
              <c:f>'Component 13'!$A$4:$A$7</c:f>
              <c:strCache>
                <c:ptCount val="4"/>
                <c:pt idx="0">
                  <c:v>Cohort V</c:v>
                </c:pt>
                <c:pt idx="1">
                  <c:v>Cohort IV</c:v>
                </c:pt>
                <c:pt idx="2">
                  <c:v>Cohort III</c:v>
                </c:pt>
                <c:pt idx="3">
                  <c:v>Cohort II</c:v>
                </c:pt>
              </c:strCache>
            </c:strRef>
          </c:cat>
          <c:val>
            <c:numRef>
              <c:f>'Component 13'!$C$4:$C$7</c:f>
              <c:numCache>
                <c:formatCode>0.00%</c:formatCode>
                <c:ptCount val="4"/>
                <c:pt idx="0">
                  <c:v>5.5599999999999997E-2</c:v>
                </c:pt>
                <c:pt idx="1">
                  <c:v>0</c:v>
                </c:pt>
                <c:pt idx="2">
                  <c:v>0</c:v>
                </c:pt>
                <c:pt idx="3">
                  <c:v>0.15379999999999999</c:v>
                </c:pt>
              </c:numCache>
            </c:numRef>
          </c:val>
          <c:extLst>
            <c:ext xmlns:c16="http://schemas.microsoft.com/office/drawing/2014/chart" uri="{C3380CC4-5D6E-409C-BE32-E72D297353CC}">
              <c16:uniqueId val="{00000001-47DD-8C46-A23B-AA3E5592CC50}"/>
            </c:ext>
          </c:extLst>
        </c:ser>
        <c:ser>
          <c:idx val="2"/>
          <c:order val="2"/>
          <c:tx>
            <c:strRef>
              <c:f>'Component 13'!$D$3</c:f>
              <c:strCache>
                <c:ptCount val="1"/>
                <c:pt idx="0">
                  <c:v>Important</c:v>
                </c:pt>
              </c:strCache>
            </c:strRef>
          </c:tx>
          <c:spPr>
            <a:solidFill>
              <a:schemeClr val="accent3"/>
            </a:solidFill>
            <a:ln>
              <a:noFill/>
            </a:ln>
            <a:effectLst/>
          </c:spPr>
          <c:invertIfNegative val="0"/>
          <c:cat>
            <c:strRef>
              <c:f>'Component 13'!$A$4:$A$7</c:f>
              <c:strCache>
                <c:ptCount val="4"/>
                <c:pt idx="0">
                  <c:v>Cohort V</c:v>
                </c:pt>
                <c:pt idx="1">
                  <c:v>Cohort IV</c:v>
                </c:pt>
                <c:pt idx="2">
                  <c:v>Cohort III</c:v>
                </c:pt>
                <c:pt idx="3">
                  <c:v>Cohort II</c:v>
                </c:pt>
              </c:strCache>
            </c:strRef>
          </c:cat>
          <c:val>
            <c:numRef>
              <c:f>'Component 13'!$D$4:$D$7</c:f>
              <c:numCache>
                <c:formatCode>0.00%</c:formatCode>
                <c:ptCount val="4"/>
                <c:pt idx="0">
                  <c:v>0.27779999999999999</c:v>
                </c:pt>
                <c:pt idx="1">
                  <c:v>0.44440000000000002</c:v>
                </c:pt>
                <c:pt idx="2">
                  <c:v>0.35709999999999997</c:v>
                </c:pt>
                <c:pt idx="3">
                  <c:v>0.30769999999999997</c:v>
                </c:pt>
              </c:numCache>
            </c:numRef>
          </c:val>
          <c:extLst>
            <c:ext xmlns:c16="http://schemas.microsoft.com/office/drawing/2014/chart" uri="{C3380CC4-5D6E-409C-BE32-E72D297353CC}">
              <c16:uniqueId val="{00000002-47DD-8C46-A23B-AA3E5592CC50}"/>
            </c:ext>
          </c:extLst>
        </c:ser>
        <c:ser>
          <c:idx val="3"/>
          <c:order val="3"/>
          <c:tx>
            <c:strRef>
              <c:f>'Component 13'!$E$3</c:f>
              <c:strCache>
                <c:ptCount val="1"/>
                <c:pt idx="0">
                  <c:v>Very important</c:v>
                </c:pt>
              </c:strCache>
            </c:strRef>
          </c:tx>
          <c:spPr>
            <a:solidFill>
              <a:schemeClr val="accent4"/>
            </a:solidFill>
            <a:ln>
              <a:noFill/>
            </a:ln>
            <a:effectLst/>
          </c:spPr>
          <c:invertIfNegative val="0"/>
          <c:cat>
            <c:strRef>
              <c:f>'Component 13'!$A$4:$A$7</c:f>
              <c:strCache>
                <c:ptCount val="4"/>
                <c:pt idx="0">
                  <c:v>Cohort V</c:v>
                </c:pt>
                <c:pt idx="1">
                  <c:v>Cohort IV</c:v>
                </c:pt>
                <c:pt idx="2">
                  <c:v>Cohort III</c:v>
                </c:pt>
                <c:pt idx="3">
                  <c:v>Cohort II</c:v>
                </c:pt>
              </c:strCache>
            </c:strRef>
          </c:cat>
          <c:val>
            <c:numRef>
              <c:f>'Component 13'!$E$4:$E$7</c:f>
              <c:numCache>
                <c:formatCode>0.00%</c:formatCode>
                <c:ptCount val="4"/>
                <c:pt idx="0">
                  <c:v>0.66670000000000007</c:v>
                </c:pt>
                <c:pt idx="1">
                  <c:v>0.55559999999999998</c:v>
                </c:pt>
                <c:pt idx="2">
                  <c:v>0.57140000000000002</c:v>
                </c:pt>
                <c:pt idx="3">
                  <c:v>0.53849999999999998</c:v>
                </c:pt>
              </c:numCache>
            </c:numRef>
          </c:val>
          <c:extLst>
            <c:ext xmlns:c16="http://schemas.microsoft.com/office/drawing/2014/chart" uri="{C3380CC4-5D6E-409C-BE32-E72D297353CC}">
              <c16:uniqueId val="{00000003-47DD-8C46-A23B-AA3E5592CC50}"/>
            </c:ext>
          </c:extLst>
        </c:ser>
        <c:dLbls>
          <c:showLegendKey val="0"/>
          <c:showVal val="0"/>
          <c:showCatName val="0"/>
          <c:showSerName val="0"/>
          <c:showPercent val="0"/>
          <c:showBubbleSize val="0"/>
        </c:dLbls>
        <c:gapWidth val="150"/>
        <c:overlap val="100"/>
        <c:axId val="368302160"/>
        <c:axId val="335758592"/>
      </c:barChart>
      <c:catAx>
        <c:axId val="368302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758592"/>
        <c:crosses val="autoZero"/>
        <c:auto val="1"/>
        <c:lblAlgn val="ctr"/>
        <c:lblOffset val="100"/>
        <c:noMultiLvlLbl val="0"/>
      </c:catAx>
      <c:valAx>
        <c:axId val="33575859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302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Communicating student progress in ways that support the learning process and student success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14'!$B$3</c:f>
              <c:strCache>
                <c:ptCount val="1"/>
                <c:pt idx="0">
                  <c:v>Not important</c:v>
                </c:pt>
              </c:strCache>
            </c:strRef>
          </c:tx>
          <c:spPr>
            <a:solidFill>
              <a:schemeClr val="accent1"/>
            </a:solidFill>
            <a:ln>
              <a:noFill/>
            </a:ln>
            <a:effectLst/>
          </c:spPr>
          <c:invertIfNegative val="0"/>
          <c:cat>
            <c:strRef>
              <c:f>'Component 14'!$A$4:$A$7</c:f>
              <c:strCache>
                <c:ptCount val="4"/>
                <c:pt idx="0">
                  <c:v>Cohort V</c:v>
                </c:pt>
                <c:pt idx="1">
                  <c:v>Cohort IV</c:v>
                </c:pt>
                <c:pt idx="2">
                  <c:v>Cohort III</c:v>
                </c:pt>
                <c:pt idx="3">
                  <c:v>Cohort II</c:v>
                </c:pt>
              </c:strCache>
            </c:strRef>
          </c:cat>
          <c:val>
            <c:numRef>
              <c:f>'Component 14'!$B$4:$B$7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E81C-DC46-AF0B-CEBE1B933D11}"/>
            </c:ext>
          </c:extLst>
        </c:ser>
        <c:ser>
          <c:idx val="1"/>
          <c:order val="1"/>
          <c:tx>
            <c:strRef>
              <c:f>'Component 14'!$C$3</c:f>
              <c:strCache>
                <c:ptCount val="1"/>
                <c:pt idx="0">
                  <c:v>Somewhat important</c:v>
                </c:pt>
              </c:strCache>
            </c:strRef>
          </c:tx>
          <c:spPr>
            <a:solidFill>
              <a:schemeClr val="accent2"/>
            </a:solidFill>
            <a:ln>
              <a:noFill/>
            </a:ln>
            <a:effectLst/>
          </c:spPr>
          <c:invertIfNegative val="0"/>
          <c:cat>
            <c:strRef>
              <c:f>'Component 14'!$A$4:$A$7</c:f>
              <c:strCache>
                <c:ptCount val="4"/>
                <c:pt idx="0">
                  <c:v>Cohort V</c:v>
                </c:pt>
                <c:pt idx="1">
                  <c:v>Cohort IV</c:v>
                </c:pt>
                <c:pt idx="2">
                  <c:v>Cohort III</c:v>
                </c:pt>
                <c:pt idx="3">
                  <c:v>Cohort II</c:v>
                </c:pt>
              </c:strCache>
            </c:strRef>
          </c:cat>
          <c:val>
            <c:numRef>
              <c:f>'Component 14'!$C$4:$C$7</c:f>
              <c:numCache>
                <c:formatCode>0.00%</c:formatCode>
                <c:ptCount val="4"/>
                <c:pt idx="0">
                  <c:v>5.5599999999999997E-2</c:v>
                </c:pt>
                <c:pt idx="1">
                  <c:v>0</c:v>
                </c:pt>
                <c:pt idx="2">
                  <c:v>0</c:v>
                </c:pt>
                <c:pt idx="3">
                  <c:v>7.690000000000001E-2</c:v>
                </c:pt>
              </c:numCache>
            </c:numRef>
          </c:val>
          <c:extLst>
            <c:ext xmlns:c16="http://schemas.microsoft.com/office/drawing/2014/chart" uri="{C3380CC4-5D6E-409C-BE32-E72D297353CC}">
              <c16:uniqueId val="{00000001-E81C-DC46-AF0B-CEBE1B933D11}"/>
            </c:ext>
          </c:extLst>
        </c:ser>
        <c:ser>
          <c:idx val="2"/>
          <c:order val="2"/>
          <c:tx>
            <c:strRef>
              <c:f>'Component 14'!$D$3</c:f>
              <c:strCache>
                <c:ptCount val="1"/>
                <c:pt idx="0">
                  <c:v>Important</c:v>
                </c:pt>
              </c:strCache>
            </c:strRef>
          </c:tx>
          <c:spPr>
            <a:solidFill>
              <a:schemeClr val="accent3"/>
            </a:solidFill>
            <a:ln>
              <a:noFill/>
            </a:ln>
            <a:effectLst/>
          </c:spPr>
          <c:invertIfNegative val="0"/>
          <c:cat>
            <c:strRef>
              <c:f>'Component 14'!$A$4:$A$7</c:f>
              <c:strCache>
                <c:ptCount val="4"/>
                <c:pt idx="0">
                  <c:v>Cohort V</c:v>
                </c:pt>
                <c:pt idx="1">
                  <c:v>Cohort IV</c:v>
                </c:pt>
                <c:pt idx="2">
                  <c:v>Cohort III</c:v>
                </c:pt>
                <c:pt idx="3">
                  <c:v>Cohort II</c:v>
                </c:pt>
              </c:strCache>
            </c:strRef>
          </c:cat>
          <c:val>
            <c:numRef>
              <c:f>'Component 14'!$D$4:$D$7</c:f>
              <c:numCache>
                <c:formatCode>0.00%</c:formatCode>
                <c:ptCount val="4"/>
                <c:pt idx="0">
                  <c:v>0.22220000000000001</c:v>
                </c:pt>
                <c:pt idx="1">
                  <c:v>0.33329999999999999</c:v>
                </c:pt>
                <c:pt idx="2">
                  <c:v>0.5</c:v>
                </c:pt>
                <c:pt idx="3">
                  <c:v>0.30769999999999997</c:v>
                </c:pt>
              </c:numCache>
            </c:numRef>
          </c:val>
          <c:extLst>
            <c:ext xmlns:c16="http://schemas.microsoft.com/office/drawing/2014/chart" uri="{C3380CC4-5D6E-409C-BE32-E72D297353CC}">
              <c16:uniqueId val="{00000002-E81C-DC46-AF0B-CEBE1B933D11}"/>
            </c:ext>
          </c:extLst>
        </c:ser>
        <c:ser>
          <c:idx val="3"/>
          <c:order val="3"/>
          <c:tx>
            <c:strRef>
              <c:f>'Component 14'!$E$3</c:f>
              <c:strCache>
                <c:ptCount val="1"/>
                <c:pt idx="0">
                  <c:v>Very important</c:v>
                </c:pt>
              </c:strCache>
            </c:strRef>
          </c:tx>
          <c:spPr>
            <a:solidFill>
              <a:schemeClr val="accent4"/>
            </a:solidFill>
            <a:ln>
              <a:noFill/>
            </a:ln>
            <a:effectLst/>
          </c:spPr>
          <c:invertIfNegative val="0"/>
          <c:cat>
            <c:strRef>
              <c:f>'Component 14'!$A$4:$A$7</c:f>
              <c:strCache>
                <c:ptCount val="4"/>
                <c:pt idx="0">
                  <c:v>Cohort V</c:v>
                </c:pt>
                <c:pt idx="1">
                  <c:v>Cohort IV</c:v>
                </c:pt>
                <c:pt idx="2">
                  <c:v>Cohort III</c:v>
                </c:pt>
                <c:pt idx="3">
                  <c:v>Cohort II</c:v>
                </c:pt>
              </c:strCache>
            </c:strRef>
          </c:cat>
          <c:val>
            <c:numRef>
              <c:f>'Component 14'!$E$4:$E$7</c:f>
              <c:numCache>
                <c:formatCode>0.00%</c:formatCode>
                <c:ptCount val="4"/>
                <c:pt idx="0">
                  <c:v>0.72219999999999995</c:v>
                </c:pt>
                <c:pt idx="1">
                  <c:v>0.66670000000000007</c:v>
                </c:pt>
                <c:pt idx="2">
                  <c:v>0.5</c:v>
                </c:pt>
                <c:pt idx="3">
                  <c:v>0.61539999999999995</c:v>
                </c:pt>
              </c:numCache>
            </c:numRef>
          </c:val>
          <c:extLst>
            <c:ext xmlns:c16="http://schemas.microsoft.com/office/drawing/2014/chart" uri="{C3380CC4-5D6E-409C-BE32-E72D297353CC}">
              <c16:uniqueId val="{00000003-E81C-DC46-AF0B-CEBE1B933D11}"/>
            </c:ext>
          </c:extLst>
        </c:ser>
        <c:dLbls>
          <c:showLegendKey val="0"/>
          <c:showVal val="0"/>
          <c:showCatName val="0"/>
          <c:showSerName val="0"/>
          <c:showPercent val="0"/>
          <c:showBubbleSize val="0"/>
        </c:dLbls>
        <c:gapWidth val="150"/>
        <c:overlap val="100"/>
        <c:axId val="1215416672"/>
        <c:axId val="1215418384"/>
      </c:barChart>
      <c:catAx>
        <c:axId val="1215416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5418384"/>
        <c:crosses val="autoZero"/>
        <c:auto val="1"/>
        <c:lblAlgn val="ctr"/>
        <c:lblOffset val="100"/>
        <c:noMultiLvlLbl val="0"/>
      </c:catAx>
      <c:valAx>
        <c:axId val="121541838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5416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Closely monitoring growth and progress of students based on their learning pathways, not just grade level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15'!$B$3</c:f>
              <c:strCache>
                <c:ptCount val="1"/>
                <c:pt idx="0">
                  <c:v>Not important</c:v>
                </c:pt>
              </c:strCache>
            </c:strRef>
          </c:tx>
          <c:spPr>
            <a:solidFill>
              <a:schemeClr val="accent1"/>
            </a:solidFill>
            <a:ln>
              <a:noFill/>
            </a:ln>
            <a:effectLst/>
          </c:spPr>
          <c:invertIfNegative val="0"/>
          <c:cat>
            <c:strRef>
              <c:f>'Component 15'!$A$4:$A$7</c:f>
              <c:strCache>
                <c:ptCount val="4"/>
                <c:pt idx="0">
                  <c:v>Cohort V</c:v>
                </c:pt>
                <c:pt idx="1">
                  <c:v>Cohort IV</c:v>
                </c:pt>
                <c:pt idx="2">
                  <c:v>Cohort III</c:v>
                </c:pt>
                <c:pt idx="3">
                  <c:v>Cohort II</c:v>
                </c:pt>
              </c:strCache>
            </c:strRef>
          </c:cat>
          <c:val>
            <c:numRef>
              <c:f>'Component 15'!$B$4:$B$7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B0C6-2A48-A01B-B52419F9096D}"/>
            </c:ext>
          </c:extLst>
        </c:ser>
        <c:ser>
          <c:idx val="1"/>
          <c:order val="1"/>
          <c:tx>
            <c:strRef>
              <c:f>'Component 15'!$C$3</c:f>
              <c:strCache>
                <c:ptCount val="1"/>
                <c:pt idx="0">
                  <c:v>Somewhat important</c:v>
                </c:pt>
              </c:strCache>
            </c:strRef>
          </c:tx>
          <c:spPr>
            <a:solidFill>
              <a:schemeClr val="accent2"/>
            </a:solidFill>
            <a:ln>
              <a:noFill/>
            </a:ln>
            <a:effectLst/>
          </c:spPr>
          <c:invertIfNegative val="0"/>
          <c:cat>
            <c:strRef>
              <c:f>'Component 15'!$A$4:$A$7</c:f>
              <c:strCache>
                <c:ptCount val="4"/>
                <c:pt idx="0">
                  <c:v>Cohort V</c:v>
                </c:pt>
                <c:pt idx="1">
                  <c:v>Cohort IV</c:v>
                </c:pt>
                <c:pt idx="2">
                  <c:v>Cohort III</c:v>
                </c:pt>
                <c:pt idx="3">
                  <c:v>Cohort II</c:v>
                </c:pt>
              </c:strCache>
            </c:strRef>
          </c:cat>
          <c:val>
            <c:numRef>
              <c:f>'Component 15'!$C$4:$C$7</c:f>
              <c:numCache>
                <c:formatCode>0.00%</c:formatCode>
                <c:ptCount val="4"/>
                <c:pt idx="0">
                  <c:v>0.1111</c:v>
                </c:pt>
                <c:pt idx="1">
                  <c:v>5.5599999999999997E-2</c:v>
                </c:pt>
                <c:pt idx="2">
                  <c:v>0</c:v>
                </c:pt>
                <c:pt idx="3">
                  <c:v>0</c:v>
                </c:pt>
              </c:numCache>
            </c:numRef>
          </c:val>
          <c:extLst>
            <c:ext xmlns:c16="http://schemas.microsoft.com/office/drawing/2014/chart" uri="{C3380CC4-5D6E-409C-BE32-E72D297353CC}">
              <c16:uniqueId val="{00000001-B0C6-2A48-A01B-B52419F9096D}"/>
            </c:ext>
          </c:extLst>
        </c:ser>
        <c:ser>
          <c:idx val="2"/>
          <c:order val="2"/>
          <c:tx>
            <c:strRef>
              <c:f>'Component 15'!$D$3</c:f>
              <c:strCache>
                <c:ptCount val="1"/>
                <c:pt idx="0">
                  <c:v>Important</c:v>
                </c:pt>
              </c:strCache>
            </c:strRef>
          </c:tx>
          <c:spPr>
            <a:solidFill>
              <a:schemeClr val="accent3"/>
            </a:solidFill>
            <a:ln>
              <a:noFill/>
            </a:ln>
            <a:effectLst/>
          </c:spPr>
          <c:invertIfNegative val="0"/>
          <c:cat>
            <c:strRef>
              <c:f>'Component 15'!$A$4:$A$7</c:f>
              <c:strCache>
                <c:ptCount val="4"/>
                <c:pt idx="0">
                  <c:v>Cohort V</c:v>
                </c:pt>
                <c:pt idx="1">
                  <c:v>Cohort IV</c:v>
                </c:pt>
                <c:pt idx="2">
                  <c:v>Cohort III</c:v>
                </c:pt>
                <c:pt idx="3">
                  <c:v>Cohort II</c:v>
                </c:pt>
              </c:strCache>
            </c:strRef>
          </c:cat>
          <c:val>
            <c:numRef>
              <c:f>'Component 15'!$D$4:$D$7</c:f>
              <c:numCache>
                <c:formatCode>0.00%</c:formatCode>
                <c:ptCount val="4"/>
                <c:pt idx="0">
                  <c:v>0.16669999999999999</c:v>
                </c:pt>
                <c:pt idx="1">
                  <c:v>0.27779999999999999</c:v>
                </c:pt>
                <c:pt idx="2">
                  <c:v>0.5</c:v>
                </c:pt>
                <c:pt idx="3">
                  <c:v>0.30769999999999997</c:v>
                </c:pt>
              </c:numCache>
            </c:numRef>
          </c:val>
          <c:extLst>
            <c:ext xmlns:c16="http://schemas.microsoft.com/office/drawing/2014/chart" uri="{C3380CC4-5D6E-409C-BE32-E72D297353CC}">
              <c16:uniqueId val="{00000002-B0C6-2A48-A01B-B52419F9096D}"/>
            </c:ext>
          </c:extLst>
        </c:ser>
        <c:ser>
          <c:idx val="3"/>
          <c:order val="3"/>
          <c:tx>
            <c:strRef>
              <c:f>'Component 15'!$E$3</c:f>
              <c:strCache>
                <c:ptCount val="1"/>
                <c:pt idx="0">
                  <c:v>Very important</c:v>
                </c:pt>
              </c:strCache>
            </c:strRef>
          </c:tx>
          <c:spPr>
            <a:solidFill>
              <a:schemeClr val="accent4"/>
            </a:solidFill>
            <a:ln>
              <a:noFill/>
            </a:ln>
            <a:effectLst/>
          </c:spPr>
          <c:invertIfNegative val="0"/>
          <c:cat>
            <c:strRef>
              <c:f>'Component 15'!$A$4:$A$7</c:f>
              <c:strCache>
                <c:ptCount val="4"/>
                <c:pt idx="0">
                  <c:v>Cohort V</c:v>
                </c:pt>
                <c:pt idx="1">
                  <c:v>Cohort IV</c:v>
                </c:pt>
                <c:pt idx="2">
                  <c:v>Cohort III</c:v>
                </c:pt>
                <c:pt idx="3">
                  <c:v>Cohort II</c:v>
                </c:pt>
              </c:strCache>
            </c:strRef>
          </c:cat>
          <c:val>
            <c:numRef>
              <c:f>'Component 15'!$E$4:$E$7</c:f>
              <c:numCache>
                <c:formatCode>0.00%</c:formatCode>
                <c:ptCount val="4"/>
                <c:pt idx="0">
                  <c:v>0.72219999999999995</c:v>
                </c:pt>
                <c:pt idx="1">
                  <c:v>0.66670000000000007</c:v>
                </c:pt>
                <c:pt idx="2">
                  <c:v>0.5</c:v>
                </c:pt>
                <c:pt idx="3">
                  <c:v>0.69230000000000003</c:v>
                </c:pt>
              </c:numCache>
            </c:numRef>
          </c:val>
          <c:extLst>
            <c:ext xmlns:c16="http://schemas.microsoft.com/office/drawing/2014/chart" uri="{C3380CC4-5D6E-409C-BE32-E72D297353CC}">
              <c16:uniqueId val="{00000003-B0C6-2A48-A01B-B52419F9096D}"/>
            </c:ext>
          </c:extLst>
        </c:ser>
        <c:dLbls>
          <c:showLegendKey val="0"/>
          <c:showVal val="0"/>
          <c:showCatName val="0"/>
          <c:showSerName val="0"/>
          <c:showPercent val="0"/>
          <c:showBubbleSize val="0"/>
        </c:dLbls>
        <c:gapWidth val="150"/>
        <c:overlap val="100"/>
        <c:axId val="1495119343"/>
        <c:axId val="1495069743"/>
      </c:barChart>
      <c:catAx>
        <c:axId val="14951193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069743"/>
        <c:crosses val="autoZero"/>
        <c:auto val="1"/>
        <c:lblAlgn val="ctr"/>
        <c:lblOffset val="100"/>
        <c:noMultiLvlLbl val="0"/>
      </c:catAx>
      <c:valAx>
        <c:axId val="1495069743"/>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1193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Communicating student progress through evidence-based grading, including learning academic content and applying transferable skills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16'!$B$3</c:f>
              <c:strCache>
                <c:ptCount val="1"/>
                <c:pt idx="0">
                  <c:v>Not important</c:v>
                </c:pt>
              </c:strCache>
            </c:strRef>
          </c:tx>
          <c:spPr>
            <a:solidFill>
              <a:schemeClr val="accent1"/>
            </a:solidFill>
            <a:ln>
              <a:noFill/>
            </a:ln>
            <a:effectLst/>
          </c:spPr>
          <c:invertIfNegative val="0"/>
          <c:cat>
            <c:strRef>
              <c:f>'Component 16'!$A$4:$A$7</c:f>
              <c:strCache>
                <c:ptCount val="4"/>
                <c:pt idx="0">
                  <c:v>Cohort V</c:v>
                </c:pt>
                <c:pt idx="1">
                  <c:v>Cohort IV</c:v>
                </c:pt>
                <c:pt idx="2">
                  <c:v>Cohort III</c:v>
                </c:pt>
                <c:pt idx="3">
                  <c:v>Cohort II</c:v>
                </c:pt>
              </c:strCache>
            </c:strRef>
          </c:cat>
          <c:val>
            <c:numRef>
              <c:f>'Component 16'!$B$4:$B$7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E4AF-BB4E-992A-5F05CE576DA0}"/>
            </c:ext>
          </c:extLst>
        </c:ser>
        <c:ser>
          <c:idx val="1"/>
          <c:order val="1"/>
          <c:tx>
            <c:strRef>
              <c:f>'Component 16'!$C$3</c:f>
              <c:strCache>
                <c:ptCount val="1"/>
                <c:pt idx="0">
                  <c:v>Somewhat important</c:v>
                </c:pt>
              </c:strCache>
            </c:strRef>
          </c:tx>
          <c:spPr>
            <a:solidFill>
              <a:schemeClr val="accent2"/>
            </a:solidFill>
            <a:ln>
              <a:noFill/>
            </a:ln>
            <a:effectLst/>
          </c:spPr>
          <c:invertIfNegative val="0"/>
          <c:cat>
            <c:strRef>
              <c:f>'Component 16'!$A$4:$A$7</c:f>
              <c:strCache>
                <c:ptCount val="4"/>
                <c:pt idx="0">
                  <c:v>Cohort V</c:v>
                </c:pt>
                <c:pt idx="1">
                  <c:v>Cohort IV</c:v>
                </c:pt>
                <c:pt idx="2">
                  <c:v>Cohort III</c:v>
                </c:pt>
                <c:pt idx="3">
                  <c:v>Cohort II</c:v>
                </c:pt>
              </c:strCache>
            </c:strRef>
          </c:cat>
          <c:val>
            <c:numRef>
              <c:f>'Component 16'!$C$4:$C$7</c:f>
              <c:numCache>
                <c:formatCode>0.00%</c:formatCode>
                <c:ptCount val="4"/>
                <c:pt idx="0">
                  <c:v>0.1111</c:v>
                </c:pt>
                <c:pt idx="1">
                  <c:v>0</c:v>
                </c:pt>
                <c:pt idx="2">
                  <c:v>0</c:v>
                </c:pt>
                <c:pt idx="3">
                  <c:v>0</c:v>
                </c:pt>
              </c:numCache>
            </c:numRef>
          </c:val>
          <c:extLst>
            <c:ext xmlns:c16="http://schemas.microsoft.com/office/drawing/2014/chart" uri="{C3380CC4-5D6E-409C-BE32-E72D297353CC}">
              <c16:uniqueId val="{00000001-E4AF-BB4E-992A-5F05CE576DA0}"/>
            </c:ext>
          </c:extLst>
        </c:ser>
        <c:ser>
          <c:idx val="2"/>
          <c:order val="2"/>
          <c:tx>
            <c:strRef>
              <c:f>'Component 16'!$D$3</c:f>
              <c:strCache>
                <c:ptCount val="1"/>
                <c:pt idx="0">
                  <c:v>Important</c:v>
                </c:pt>
              </c:strCache>
            </c:strRef>
          </c:tx>
          <c:spPr>
            <a:solidFill>
              <a:schemeClr val="accent3"/>
            </a:solidFill>
            <a:ln>
              <a:noFill/>
            </a:ln>
            <a:effectLst/>
          </c:spPr>
          <c:invertIfNegative val="0"/>
          <c:cat>
            <c:strRef>
              <c:f>'Component 16'!$A$4:$A$7</c:f>
              <c:strCache>
                <c:ptCount val="4"/>
                <c:pt idx="0">
                  <c:v>Cohort V</c:v>
                </c:pt>
                <c:pt idx="1">
                  <c:v>Cohort IV</c:v>
                </c:pt>
                <c:pt idx="2">
                  <c:v>Cohort III</c:v>
                </c:pt>
                <c:pt idx="3">
                  <c:v>Cohort II</c:v>
                </c:pt>
              </c:strCache>
            </c:strRef>
          </c:cat>
          <c:val>
            <c:numRef>
              <c:f>'Component 16'!$D$4:$D$7</c:f>
              <c:numCache>
                <c:formatCode>0.00%</c:formatCode>
                <c:ptCount val="4"/>
                <c:pt idx="0">
                  <c:v>0.22220000000000001</c:v>
                </c:pt>
                <c:pt idx="1">
                  <c:v>0.33329999999999999</c:v>
                </c:pt>
                <c:pt idx="2">
                  <c:v>0.64290000000000003</c:v>
                </c:pt>
                <c:pt idx="3">
                  <c:v>7.690000000000001E-2</c:v>
                </c:pt>
              </c:numCache>
            </c:numRef>
          </c:val>
          <c:extLst>
            <c:ext xmlns:c16="http://schemas.microsoft.com/office/drawing/2014/chart" uri="{C3380CC4-5D6E-409C-BE32-E72D297353CC}">
              <c16:uniqueId val="{00000002-E4AF-BB4E-992A-5F05CE576DA0}"/>
            </c:ext>
          </c:extLst>
        </c:ser>
        <c:ser>
          <c:idx val="3"/>
          <c:order val="3"/>
          <c:tx>
            <c:strRef>
              <c:f>'Component 16'!$E$3</c:f>
              <c:strCache>
                <c:ptCount val="1"/>
                <c:pt idx="0">
                  <c:v>Very important</c:v>
                </c:pt>
              </c:strCache>
            </c:strRef>
          </c:tx>
          <c:spPr>
            <a:solidFill>
              <a:schemeClr val="accent4"/>
            </a:solidFill>
            <a:ln>
              <a:noFill/>
            </a:ln>
            <a:effectLst/>
          </c:spPr>
          <c:invertIfNegative val="0"/>
          <c:cat>
            <c:strRef>
              <c:f>'Component 16'!$A$4:$A$7</c:f>
              <c:strCache>
                <c:ptCount val="4"/>
                <c:pt idx="0">
                  <c:v>Cohort V</c:v>
                </c:pt>
                <c:pt idx="1">
                  <c:v>Cohort IV</c:v>
                </c:pt>
                <c:pt idx="2">
                  <c:v>Cohort III</c:v>
                </c:pt>
                <c:pt idx="3">
                  <c:v>Cohort II</c:v>
                </c:pt>
              </c:strCache>
            </c:strRef>
          </c:cat>
          <c:val>
            <c:numRef>
              <c:f>'Component 16'!$E$4:$E$7</c:f>
              <c:numCache>
                <c:formatCode>0.00%</c:formatCode>
                <c:ptCount val="4"/>
                <c:pt idx="0">
                  <c:v>0.66670000000000007</c:v>
                </c:pt>
                <c:pt idx="1">
                  <c:v>0.66670000000000007</c:v>
                </c:pt>
                <c:pt idx="2">
                  <c:v>0.35709999999999997</c:v>
                </c:pt>
                <c:pt idx="3">
                  <c:v>0.92310000000000003</c:v>
                </c:pt>
              </c:numCache>
            </c:numRef>
          </c:val>
          <c:extLst>
            <c:ext xmlns:c16="http://schemas.microsoft.com/office/drawing/2014/chart" uri="{C3380CC4-5D6E-409C-BE32-E72D297353CC}">
              <c16:uniqueId val="{00000003-E4AF-BB4E-992A-5F05CE576DA0}"/>
            </c:ext>
          </c:extLst>
        </c:ser>
        <c:dLbls>
          <c:showLegendKey val="0"/>
          <c:showVal val="0"/>
          <c:showCatName val="0"/>
          <c:showSerName val="0"/>
          <c:showPercent val="0"/>
          <c:showBubbleSize val="0"/>
        </c:dLbls>
        <c:gapWidth val="150"/>
        <c:overlap val="100"/>
        <c:axId val="1228135984"/>
        <c:axId val="1228137712"/>
      </c:barChart>
      <c:catAx>
        <c:axId val="1228135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8137712"/>
        <c:crosses val="autoZero"/>
        <c:auto val="1"/>
        <c:lblAlgn val="ctr"/>
        <c:lblOffset val="100"/>
        <c:noMultiLvlLbl val="0"/>
      </c:catAx>
      <c:valAx>
        <c:axId val="12281377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8135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a:t>
            </a:r>
            <a:r>
              <a:rPr lang="en-US" sz="1100"/>
              <a:t>Facilitating student advancement once students have met or exceeded expectations for mastery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17'!$B$3</c:f>
              <c:strCache>
                <c:ptCount val="1"/>
                <c:pt idx="0">
                  <c:v>Not important</c:v>
                </c:pt>
              </c:strCache>
            </c:strRef>
          </c:tx>
          <c:spPr>
            <a:solidFill>
              <a:schemeClr val="accent1"/>
            </a:solidFill>
            <a:ln>
              <a:noFill/>
            </a:ln>
            <a:effectLst/>
          </c:spPr>
          <c:invertIfNegative val="0"/>
          <c:cat>
            <c:strRef>
              <c:f>'Component 17'!$A$4:$A$7</c:f>
              <c:strCache>
                <c:ptCount val="4"/>
                <c:pt idx="0">
                  <c:v>Cohort V</c:v>
                </c:pt>
                <c:pt idx="1">
                  <c:v>Cohort IV</c:v>
                </c:pt>
                <c:pt idx="2">
                  <c:v>Cohort III</c:v>
                </c:pt>
                <c:pt idx="3">
                  <c:v>Cohort II</c:v>
                </c:pt>
              </c:strCache>
            </c:strRef>
          </c:cat>
          <c:val>
            <c:numRef>
              <c:f>'Component 17'!$B$4:$B$7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C225-BD4F-89EA-AD73EED98B6D}"/>
            </c:ext>
          </c:extLst>
        </c:ser>
        <c:ser>
          <c:idx val="1"/>
          <c:order val="1"/>
          <c:tx>
            <c:strRef>
              <c:f>'Component 17'!$C$3</c:f>
              <c:strCache>
                <c:ptCount val="1"/>
                <c:pt idx="0">
                  <c:v>Somewhat important</c:v>
                </c:pt>
              </c:strCache>
            </c:strRef>
          </c:tx>
          <c:spPr>
            <a:solidFill>
              <a:schemeClr val="accent2"/>
            </a:solidFill>
            <a:ln>
              <a:noFill/>
            </a:ln>
            <a:effectLst/>
          </c:spPr>
          <c:invertIfNegative val="0"/>
          <c:cat>
            <c:strRef>
              <c:f>'Component 17'!$A$4:$A$7</c:f>
              <c:strCache>
                <c:ptCount val="4"/>
                <c:pt idx="0">
                  <c:v>Cohort V</c:v>
                </c:pt>
                <c:pt idx="1">
                  <c:v>Cohort IV</c:v>
                </c:pt>
                <c:pt idx="2">
                  <c:v>Cohort III</c:v>
                </c:pt>
                <c:pt idx="3">
                  <c:v>Cohort II</c:v>
                </c:pt>
              </c:strCache>
            </c:strRef>
          </c:cat>
          <c:val>
            <c:numRef>
              <c:f>'Component 17'!$C$4:$C$7</c:f>
              <c:numCache>
                <c:formatCode>0.00%</c:formatCode>
                <c:ptCount val="4"/>
                <c:pt idx="0">
                  <c:v>0</c:v>
                </c:pt>
                <c:pt idx="1">
                  <c:v>0.1111</c:v>
                </c:pt>
                <c:pt idx="2">
                  <c:v>0</c:v>
                </c:pt>
                <c:pt idx="3">
                  <c:v>0</c:v>
                </c:pt>
              </c:numCache>
            </c:numRef>
          </c:val>
          <c:extLst>
            <c:ext xmlns:c16="http://schemas.microsoft.com/office/drawing/2014/chart" uri="{C3380CC4-5D6E-409C-BE32-E72D297353CC}">
              <c16:uniqueId val="{00000001-C225-BD4F-89EA-AD73EED98B6D}"/>
            </c:ext>
          </c:extLst>
        </c:ser>
        <c:ser>
          <c:idx val="2"/>
          <c:order val="2"/>
          <c:tx>
            <c:strRef>
              <c:f>'Component 17'!$D$3</c:f>
              <c:strCache>
                <c:ptCount val="1"/>
                <c:pt idx="0">
                  <c:v>Important</c:v>
                </c:pt>
              </c:strCache>
            </c:strRef>
          </c:tx>
          <c:spPr>
            <a:solidFill>
              <a:schemeClr val="accent3"/>
            </a:solidFill>
            <a:ln>
              <a:noFill/>
            </a:ln>
            <a:effectLst/>
          </c:spPr>
          <c:invertIfNegative val="0"/>
          <c:cat>
            <c:strRef>
              <c:f>'Component 17'!$A$4:$A$7</c:f>
              <c:strCache>
                <c:ptCount val="4"/>
                <c:pt idx="0">
                  <c:v>Cohort V</c:v>
                </c:pt>
                <c:pt idx="1">
                  <c:v>Cohort IV</c:v>
                </c:pt>
                <c:pt idx="2">
                  <c:v>Cohort III</c:v>
                </c:pt>
                <c:pt idx="3">
                  <c:v>Cohort II</c:v>
                </c:pt>
              </c:strCache>
            </c:strRef>
          </c:cat>
          <c:val>
            <c:numRef>
              <c:f>'Component 17'!$D$4:$D$7</c:f>
              <c:numCache>
                <c:formatCode>0.00%</c:formatCode>
                <c:ptCount val="4"/>
                <c:pt idx="0">
                  <c:v>0.33329999999999999</c:v>
                </c:pt>
                <c:pt idx="1">
                  <c:v>0.38890000000000002</c:v>
                </c:pt>
                <c:pt idx="2">
                  <c:v>0.64290000000000003</c:v>
                </c:pt>
                <c:pt idx="3">
                  <c:v>0.30769999999999997</c:v>
                </c:pt>
              </c:numCache>
            </c:numRef>
          </c:val>
          <c:extLst>
            <c:ext xmlns:c16="http://schemas.microsoft.com/office/drawing/2014/chart" uri="{C3380CC4-5D6E-409C-BE32-E72D297353CC}">
              <c16:uniqueId val="{00000002-C225-BD4F-89EA-AD73EED98B6D}"/>
            </c:ext>
          </c:extLst>
        </c:ser>
        <c:ser>
          <c:idx val="3"/>
          <c:order val="3"/>
          <c:tx>
            <c:strRef>
              <c:f>'Component 17'!$E$3</c:f>
              <c:strCache>
                <c:ptCount val="1"/>
                <c:pt idx="0">
                  <c:v>Very important</c:v>
                </c:pt>
              </c:strCache>
            </c:strRef>
          </c:tx>
          <c:spPr>
            <a:solidFill>
              <a:schemeClr val="accent4"/>
            </a:solidFill>
            <a:ln>
              <a:noFill/>
            </a:ln>
            <a:effectLst/>
          </c:spPr>
          <c:invertIfNegative val="0"/>
          <c:cat>
            <c:strRef>
              <c:f>'Component 17'!$A$4:$A$7</c:f>
              <c:strCache>
                <c:ptCount val="4"/>
                <c:pt idx="0">
                  <c:v>Cohort V</c:v>
                </c:pt>
                <c:pt idx="1">
                  <c:v>Cohort IV</c:v>
                </c:pt>
                <c:pt idx="2">
                  <c:v>Cohort III</c:v>
                </c:pt>
                <c:pt idx="3">
                  <c:v>Cohort II</c:v>
                </c:pt>
              </c:strCache>
            </c:strRef>
          </c:cat>
          <c:val>
            <c:numRef>
              <c:f>'Component 17'!$E$4:$E$7</c:f>
              <c:numCache>
                <c:formatCode>0.00%</c:formatCode>
                <c:ptCount val="4"/>
                <c:pt idx="0">
                  <c:v>0.66670000000000007</c:v>
                </c:pt>
                <c:pt idx="1">
                  <c:v>0.5</c:v>
                </c:pt>
                <c:pt idx="2">
                  <c:v>0.35709999999999997</c:v>
                </c:pt>
                <c:pt idx="3">
                  <c:v>0.69230000000000003</c:v>
                </c:pt>
              </c:numCache>
            </c:numRef>
          </c:val>
          <c:extLst>
            <c:ext xmlns:c16="http://schemas.microsoft.com/office/drawing/2014/chart" uri="{C3380CC4-5D6E-409C-BE32-E72D297353CC}">
              <c16:uniqueId val="{00000003-C225-BD4F-89EA-AD73EED98B6D}"/>
            </c:ext>
          </c:extLst>
        </c:ser>
        <c:dLbls>
          <c:showLegendKey val="0"/>
          <c:showVal val="0"/>
          <c:showCatName val="0"/>
          <c:showSerName val="0"/>
          <c:showPercent val="0"/>
          <c:showBubbleSize val="0"/>
        </c:dLbls>
        <c:gapWidth val="150"/>
        <c:overlap val="100"/>
        <c:axId val="1175096336"/>
        <c:axId val="1617244480"/>
      </c:barChart>
      <c:catAx>
        <c:axId val="1175096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7244480"/>
        <c:crosses val="autoZero"/>
        <c:auto val="1"/>
        <c:lblAlgn val="ctr"/>
        <c:lblOffset val="100"/>
        <c:noMultiLvlLbl val="0"/>
      </c:catAx>
      <c:valAx>
        <c:axId val="161724448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5096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Providing instruction until students fully learn the concept or skill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'Component 18'!$B$3</c:f>
              <c:strCache>
                <c:ptCount val="1"/>
                <c:pt idx="0">
                  <c:v>Not important</c:v>
                </c:pt>
              </c:strCache>
            </c:strRef>
          </c:tx>
          <c:spPr>
            <a:solidFill>
              <a:schemeClr val="accent1"/>
            </a:solidFill>
            <a:ln>
              <a:noFill/>
            </a:ln>
            <a:effectLst/>
          </c:spPr>
          <c:invertIfNegative val="0"/>
          <c:cat>
            <c:strRef>
              <c:f>'Component 18'!$A$4:$A$7</c:f>
              <c:strCache>
                <c:ptCount val="4"/>
                <c:pt idx="0">
                  <c:v>Cohort V</c:v>
                </c:pt>
                <c:pt idx="1">
                  <c:v>Cohort IV</c:v>
                </c:pt>
                <c:pt idx="2">
                  <c:v>Cohort III</c:v>
                </c:pt>
                <c:pt idx="3">
                  <c:v>Cohort II</c:v>
                </c:pt>
              </c:strCache>
            </c:strRef>
          </c:cat>
          <c:val>
            <c:numRef>
              <c:f>'Component 18'!$B$4:$B$7</c:f>
              <c:numCache>
                <c:formatCode>0.00%</c:formatCode>
                <c:ptCount val="4"/>
                <c:pt idx="0">
                  <c:v>0</c:v>
                </c:pt>
                <c:pt idx="1">
                  <c:v>0</c:v>
                </c:pt>
                <c:pt idx="2">
                  <c:v>0</c:v>
                </c:pt>
                <c:pt idx="3">
                  <c:v>0</c:v>
                </c:pt>
              </c:numCache>
            </c:numRef>
          </c:val>
          <c:extLst>
            <c:ext xmlns:c16="http://schemas.microsoft.com/office/drawing/2014/chart" uri="{C3380CC4-5D6E-409C-BE32-E72D297353CC}">
              <c16:uniqueId val="{00000000-CB48-5244-98FB-44E3919C75AC}"/>
            </c:ext>
          </c:extLst>
        </c:ser>
        <c:ser>
          <c:idx val="1"/>
          <c:order val="1"/>
          <c:tx>
            <c:strRef>
              <c:f>'Component 18'!$C$3</c:f>
              <c:strCache>
                <c:ptCount val="1"/>
                <c:pt idx="0">
                  <c:v>Somewhat important</c:v>
                </c:pt>
              </c:strCache>
            </c:strRef>
          </c:tx>
          <c:spPr>
            <a:solidFill>
              <a:schemeClr val="accent2"/>
            </a:solidFill>
            <a:ln>
              <a:noFill/>
            </a:ln>
            <a:effectLst/>
          </c:spPr>
          <c:invertIfNegative val="0"/>
          <c:cat>
            <c:strRef>
              <c:f>'Component 18'!$A$4:$A$7</c:f>
              <c:strCache>
                <c:ptCount val="4"/>
                <c:pt idx="0">
                  <c:v>Cohort V</c:v>
                </c:pt>
                <c:pt idx="1">
                  <c:v>Cohort IV</c:v>
                </c:pt>
                <c:pt idx="2">
                  <c:v>Cohort III</c:v>
                </c:pt>
                <c:pt idx="3">
                  <c:v>Cohort II</c:v>
                </c:pt>
              </c:strCache>
            </c:strRef>
          </c:cat>
          <c:val>
            <c:numRef>
              <c:f>'Component 18'!$C$4:$C$7</c:f>
              <c:numCache>
                <c:formatCode>0.00%</c:formatCode>
                <c:ptCount val="4"/>
                <c:pt idx="0">
                  <c:v>0</c:v>
                </c:pt>
                <c:pt idx="1">
                  <c:v>0.1111</c:v>
                </c:pt>
                <c:pt idx="2">
                  <c:v>7.1399999999999991E-2</c:v>
                </c:pt>
                <c:pt idx="3">
                  <c:v>7.6899999999999996E-2</c:v>
                </c:pt>
              </c:numCache>
            </c:numRef>
          </c:val>
          <c:extLst>
            <c:ext xmlns:c16="http://schemas.microsoft.com/office/drawing/2014/chart" uri="{C3380CC4-5D6E-409C-BE32-E72D297353CC}">
              <c16:uniqueId val="{00000001-CB48-5244-98FB-44E3919C75AC}"/>
            </c:ext>
          </c:extLst>
        </c:ser>
        <c:ser>
          <c:idx val="2"/>
          <c:order val="2"/>
          <c:tx>
            <c:strRef>
              <c:f>'Component 18'!$D$3</c:f>
              <c:strCache>
                <c:ptCount val="1"/>
                <c:pt idx="0">
                  <c:v>Important</c:v>
                </c:pt>
              </c:strCache>
            </c:strRef>
          </c:tx>
          <c:spPr>
            <a:solidFill>
              <a:schemeClr val="accent3"/>
            </a:solidFill>
            <a:ln>
              <a:noFill/>
            </a:ln>
            <a:effectLst/>
          </c:spPr>
          <c:invertIfNegative val="0"/>
          <c:cat>
            <c:strRef>
              <c:f>'Component 18'!$A$4:$A$7</c:f>
              <c:strCache>
                <c:ptCount val="4"/>
                <c:pt idx="0">
                  <c:v>Cohort V</c:v>
                </c:pt>
                <c:pt idx="1">
                  <c:v>Cohort IV</c:v>
                </c:pt>
                <c:pt idx="2">
                  <c:v>Cohort III</c:v>
                </c:pt>
                <c:pt idx="3">
                  <c:v>Cohort II</c:v>
                </c:pt>
              </c:strCache>
            </c:strRef>
          </c:cat>
          <c:val>
            <c:numRef>
              <c:f>'Component 18'!$D$4:$D$7</c:f>
              <c:numCache>
                <c:formatCode>0.00%</c:formatCode>
                <c:ptCount val="4"/>
                <c:pt idx="0">
                  <c:v>0.38890000000000002</c:v>
                </c:pt>
                <c:pt idx="1">
                  <c:v>0.33329999999999999</c:v>
                </c:pt>
                <c:pt idx="2">
                  <c:v>0.5</c:v>
                </c:pt>
                <c:pt idx="3">
                  <c:v>0.46150000000000002</c:v>
                </c:pt>
              </c:numCache>
            </c:numRef>
          </c:val>
          <c:extLst>
            <c:ext xmlns:c16="http://schemas.microsoft.com/office/drawing/2014/chart" uri="{C3380CC4-5D6E-409C-BE32-E72D297353CC}">
              <c16:uniqueId val="{00000002-CB48-5244-98FB-44E3919C75AC}"/>
            </c:ext>
          </c:extLst>
        </c:ser>
        <c:ser>
          <c:idx val="3"/>
          <c:order val="3"/>
          <c:tx>
            <c:strRef>
              <c:f>'Component 18'!$E$3</c:f>
              <c:strCache>
                <c:ptCount val="1"/>
                <c:pt idx="0">
                  <c:v>Very important</c:v>
                </c:pt>
              </c:strCache>
            </c:strRef>
          </c:tx>
          <c:spPr>
            <a:solidFill>
              <a:schemeClr val="accent4"/>
            </a:solidFill>
            <a:ln>
              <a:noFill/>
            </a:ln>
            <a:effectLst/>
          </c:spPr>
          <c:invertIfNegative val="0"/>
          <c:cat>
            <c:strRef>
              <c:f>'Component 18'!$A$4:$A$7</c:f>
              <c:strCache>
                <c:ptCount val="4"/>
                <c:pt idx="0">
                  <c:v>Cohort V</c:v>
                </c:pt>
                <c:pt idx="1">
                  <c:v>Cohort IV</c:v>
                </c:pt>
                <c:pt idx="2">
                  <c:v>Cohort III</c:v>
                </c:pt>
                <c:pt idx="3">
                  <c:v>Cohort II</c:v>
                </c:pt>
              </c:strCache>
            </c:strRef>
          </c:cat>
          <c:val>
            <c:numRef>
              <c:f>'Component 18'!$E$4:$E$7</c:f>
              <c:numCache>
                <c:formatCode>0.00%</c:formatCode>
                <c:ptCount val="4"/>
                <c:pt idx="0">
                  <c:v>0.61109999999999998</c:v>
                </c:pt>
                <c:pt idx="1">
                  <c:v>0.55559999999999998</c:v>
                </c:pt>
                <c:pt idx="2">
                  <c:v>0.42859999999999998</c:v>
                </c:pt>
                <c:pt idx="3">
                  <c:v>0.46150000000000002</c:v>
                </c:pt>
              </c:numCache>
            </c:numRef>
          </c:val>
          <c:extLst>
            <c:ext xmlns:c16="http://schemas.microsoft.com/office/drawing/2014/chart" uri="{C3380CC4-5D6E-409C-BE32-E72D297353CC}">
              <c16:uniqueId val="{00000003-CB48-5244-98FB-44E3919C75AC}"/>
            </c:ext>
          </c:extLst>
        </c:ser>
        <c:dLbls>
          <c:showLegendKey val="0"/>
          <c:showVal val="0"/>
          <c:showCatName val="0"/>
          <c:showSerName val="0"/>
          <c:showPercent val="0"/>
          <c:showBubbleSize val="0"/>
        </c:dLbls>
        <c:gapWidth val="150"/>
        <c:overlap val="100"/>
        <c:axId val="335850704"/>
        <c:axId val="335852416"/>
      </c:barChart>
      <c:catAx>
        <c:axId val="335850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852416"/>
        <c:crosses val="autoZero"/>
        <c:auto val="1"/>
        <c:lblAlgn val="ctr"/>
        <c:lblOffset val="100"/>
        <c:noMultiLvlLbl val="0"/>
      </c:catAx>
      <c:valAx>
        <c:axId val="335852416"/>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850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'Question 7'!$B$3</c:f>
              <c:strCache>
                <c:ptCount val="1"/>
                <c:pt idx="0">
                  <c:v>Responses</c:v>
                </c:pt>
              </c:strCache>
            </c:strRef>
          </c:tx>
          <c:spPr>
            <a:solidFill>
              <a:srgbClr val="00BF6F"/>
            </a:solidFill>
            <a:ln>
              <a:prstDash val="solid"/>
            </a:ln>
          </c:spPr>
          <c:invertIfNegative val="0"/>
          <c:cat>
            <c:strRef>
              <c:f>'Question 7'!$A$4:$A$7</c:f>
              <c:strCache>
                <c:ptCount val="4"/>
                <c:pt idx="0">
                  <c:v>I administered the assessment in my own classroom</c:v>
                </c:pt>
                <c:pt idx="1">
                  <c:v>I worked closely with a colleague to administer the assessment but the assessment was not piloted in my classroom</c:v>
                </c:pt>
                <c:pt idx="2">
                  <c:v>The assessment my team developed was administered by others, but I was not involved in its administration.</c:v>
                </c:pt>
                <c:pt idx="3">
                  <c:v>My assessment has not been piloted</c:v>
                </c:pt>
              </c:strCache>
            </c:strRef>
          </c:cat>
          <c:val>
            <c:numRef>
              <c:f>'Question 7'!$B$4:$B$7</c:f>
              <c:numCache>
                <c:formatCode>0.00%</c:formatCode>
                <c:ptCount val="4"/>
                <c:pt idx="0">
                  <c:v>0.23080000000000001</c:v>
                </c:pt>
                <c:pt idx="1">
                  <c:v>0.69230000000000003</c:v>
                </c:pt>
                <c:pt idx="2">
                  <c:v>0</c:v>
                </c:pt>
                <c:pt idx="3">
                  <c:v>7.690000000000001E-2</c:v>
                </c:pt>
              </c:numCache>
            </c:numRef>
          </c:val>
          <c:extLst>
            <c:ext xmlns:c16="http://schemas.microsoft.com/office/drawing/2014/chart" uri="{C3380CC4-5D6E-409C-BE32-E72D297353CC}">
              <c16:uniqueId val="{00000000-8AAC-3D46-B8F1-5B5F800B27F6}"/>
            </c:ext>
          </c:extLst>
        </c:ser>
        <c:dLbls>
          <c:showLegendKey val="0"/>
          <c:showVal val="0"/>
          <c:showCatName val="0"/>
          <c:showSerName val="0"/>
          <c:showPercent val="0"/>
          <c:showBubbleSize val="0"/>
        </c:dLbls>
        <c:gapWidth val="150"/>
        <c:axId val="10"/>
        <c:axId val="100"/>
      </c:barChart>
      <c:valAx>
        <c:axId val="100"/>
        <c:scaling>
          <c:orientation val="minMax"/>
        </c:scaling>
        <c:delete val="0"/>
        <c:axPos val="l"/>
        <c:majorGridlines/>
        <c:numFmt formatCode="0.00%" sourceLinked="1"/>
        <c:majorTickMark val="out"/>
        <c:minorTickMark val="none"/>
        <c:tickLblPos val="nextTo"/>
        <c:crossAx val="10"/>
        <c:crosses val="autoZero"/>
        <c:crossBetween val="between"/>
      </c:valAx>
      <c:catAx>
        <c:axId val="10"/>
        <c:scaling>
          <c:orientation val="minMax"/>
        </c:scaling>
        <c:delete val="0"/>
        <c:axPos val="b"/>
        <c:numFmt formatCode="General" sourceLinked="1"/>
        <c:majorTickMark val="out"/>
        <c:minorTickMark val="none"/>
        <c:tickLblPos val="nextTo"/>
        <c:crossAx val="100"/>
        <c:crosses val="autoZero"/>
        <c:auto val="0"/>
        <c:lblAlgn val="ctr"/>
        <c:lblOffset val="100"/>
        <c:noMultiLvlLbl val="0"/>
      </c:catAx>
    </c:plotArea>
    <c:plotVisOnly val="0"/>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'/Users/lanejoh3/Downloads/[MiPAC Cohort III Exit Survey 3.xlsx]Question 8'!$B$3</c:f>
              <c:strCache>
                <c:ptCount val="1"/>
                <c:pt idx="0">
                  <c:v>Responses</c:v>
                </c:pt>
              </c:strCache>
            </c:strRef>
          </c:tx>
          <c:spPr>
            <a:solidFill>
              <a:srgbClr val="00BF6F"/>
            </a:solidFill>
            <a:ln>
              <a:prstDash val="solid"/>
            </a:ln>
          </c:spPr>
          <c:invertIfNegative val="0"/>
          <c:cat>
            <c:strRef>
              <c:f>'/Users/lanejoh3/Downloads/[MiPAC Cohort III Exit Survey 3.xlsx]Question 8'!$A$4:$A$7</c:f>
              <c:strCache>
                <c:ptCount val="4"/>
                <c:pt idx="0">
                  <c:v>I administered the assessment in my own classroom</c:v>
                </c:pt>
                <c:pt idx="1">
                  <c:v>I worked closely with a colleague to administer the assessment but the assessment was not piloted in my classroom</c:v>
                </c:pt>
                <c:pt idx="2">
                  <c:v>The assessment my team developed was administered by others, but I was not involved in its administration.</c:v>
                </c:pt>
                <c:pt idx="3">
                  <c:v>My assessment has not been piloted</c:v>
                </c:pt>
              </c:strCache>
            </c:strRef>
          </c:cat>
          <c:val>
            <c:numRef>
              <c:f>'/Users/lanejoh3/Downloads/[MiPAC Cohort III Exit Survey 3.xlsx]Question 8'!$B$4:$B$7</c:f>
              <c:numCache>
                <c:formatCode>0.00%</c:formatCode>
                <c:ptCount val="4"/>
                <c:pt idx="0">
                  <c:v>0.61539999999999995</c:v>
                </c:pt>
                <c:pt idx="1">
                  <c:v>0.30769999999999997</c:v>
                </c:pt>
                <c:pt idx="2">
                  <c:v>7.690000000000001E-2</c:v>
                </c:pt>
                <c:pt idx="3">
                  <c:v>0</c:v>
                </c:pt>
              </c:numCache>
            </c:numRef>
          </c:val>
          <c:extLst>
            <c:ext xmlns:c16="http://schemas.microsoft.com/office/drawing/2014/chart" uri="{C3380CC4-5D6E-409C-BE32-E72D297353CC}">
              <c16:uniqueId val="{00000000-D8A5-2548-81D2-C420FDE114BB}"/>
            </c:ext>
          </c:extLst>
        </c:ser>
        <c:dLbls>
          <c:showLegendKey val="0"/>
          <c:showVal val="0"/>
          <c:showCatName val="0"/>
          <c:showSerName val="0"/>
          <c:showPercent val="0"/>
          <c:showBubbleSize val="0"/>
        </c:dLbls>
        <c:gapWidth val="150"/>
        <c:axId val="10"/>
        <c:axId val="100"/>
      </c:barChart>
      <c:valAx>
        <c:axId val="100"/>
        <c:scaling>
          <c:orientation val="minMax"/>
          <c:max val="1"/>
        </c:scaling>
        <c:delete val="0"/>
        <c:axPos val="l"/>
        <c:majorGridlines/>
        <c:numFmt formatCode="0.00%" sourceLinked="1"/>
        <c:majorTickMark val="out"/>
        <c:minorTickMark val="none"/>
        <c:tickLblPos val="nextTo"/>
        <c:crossAx val="10"/>
        <c:crosses val="autoZero"/>
        <c:crossBetween val="between"/>
      </c:valAx>
      <c:catAx>
        <c:axId val="10"/>
        <c:scaling>
          <c:orientation val="minMax"/>
        </c:scaling>
        <c:delete val="0"/>
        <c:axPos val="b"/>
        <c:numFmt formatCode="General" sourceLinked="1"/>
        <c:majorTickMark val="out"/>
        <c:minorTickMark val="none"/>
        <c:tickLblPos val="nextTo"/>
        <c:crossAx val="100"/>
        <c:crosses val="autoZero"/>
        <c:auto val="0"/>
        <c:lblAlgn val="ctr"/>
        <c:lblOffset val="100"/>
        <c:noMultiLvlLbl val="0"/>
      </c:catAx>
    </c:plotArea>
    <c:plotVisOnly val="0"/>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'Question 8'!$B$3</c:f>
              <c:strCache>
                <c:ptCount val="1"/>
                <c:pt idx="0">
                  <c:v>Responses</c:v>
                </c:pt>
              </c:strCache>
            </c:strRef>
          </c:tx>
          <c:spPr>
            <a:solidFill>
              <a:srgbClr val="00BF6F"/>
            </a:solidFill>
            <a:ln>
              <a:prstDash val="solid"/>
            </a:ln>
          </c:spPr>
          <c:invertIfNegative val="0"/>
          <c:cat>
            <c:strRef>
              <c:f>'Question 8'!$A$4:$A$7</c:f>
              <c:strCache>
                <c:ptCount val="4"/>
                <c:pt idx="0">
                  <c:v>I administered the assessment in my own classroom</c:v>
                </c:pt>
                <c:pt idx="1">
                  <c:v>I worked observed a colleague administering the assessment but the assessment was not piloted in my classroom</c:v>
                </c:pt>
                <c:pt idx="2">
                  <c:v>The assessment my team developed was administered by others, but I was not involved in its administration.</c:v>
                </c:pt>
                <c:pt idx="3">
                  <c:v>My assessment has not been piloted</c:v>
                </c:pt>
              </c:strCache>
            </c:strRef>
          </c:cat>
          <c:val>
            <c:numRef>
              <c:f>'Question 8'!$B$4:$B$7</c:f>
              <c:numCache>
                <c:formatCode>0.00%</c:formatCode>
                <c:ptCount val="4"/>
                <c:pt idx="0">
                  <c:v>0.27779999999999999</c:v>
                </c:pt>
                <c:pt idx="1">
                  <c:v>0.33329999999999999</c:v>
                </c:pt>
                <c:pt idx="2">
                  <c:v>0.38890000000000002</c:v>
                </c:pt>
                <c:pt idx="3">
                  <c:v>0</c:v>
                </c:pt>
              </c:numCache>
            </c:numRef>
          </c:val>
          <c:extLst>
            <c:ext xmlns:c16="http://schemas.microsoft.com/office/drawing/2014/chart" uri="{C3380CC4-5D6E-409C-BE32-E72D297353CC}">
              <c16:uniqueId val="{00000000-B7CB-AC47-8C32-BC5F39A82D3F}"/>
            </c:ext>
          </c:extLst>
        </c:ser>
        <c:dLbls>
          <c:showLegendKey val="0"/>
          <c:showVal val="0"/>
          <c:showCatName val="0"/>
          <c:showSerName val="0"/>
          <c:showPercent val="0"/>
          <c:showBubbleSize val="0"/>
        </c:dLbls>
        <c:gapWidth val="150"/>
        <c:axId val="10"/>
        <c:axId val="100"/>
      </c:barChart>
      <c:valAx>
        <c:axId val="100"/>
        <c:scaling>
          <c:orientation val="minMax"/>
          <c:max val="1"/>
        </c:scaling>
        <c:delete val="0"/>
        <c:axPos val="l"/>
        <c:majorGridlines/>
        <c:numFmt formatCode="0.00%" sourceLinked="1"/>
        <c:majorTickMark val="out"/>
        <c:minorTickMark val="none"/>
        <c:tickLblPos val="nextTo"/>
        <c:crossAx val="10"/>
        <c:crosses val="autoZero"/>
        <c:crossBetween val="between"/>
      </c:valAx>
      <c:catAx>
        <c:axId val="10"/>
        <c:scaling>
          <c:orientation val="minMax"/>
        </c:scaling>
        <c:delete val="0"/>
        <c:axPos val="b"/>
        <c:numFmt formatCode="General" sourceLinked="1"/>
        <c:majorTickMark val="out"/>
        <c:minorTickMark val="none"/>
        <c:tickLblPos val="nextTo"/>
        <c:crossAx val="100"/>
        <c:crosses val="autoZero"/>
        <c:auto val="0"/>
        <c:lblAlgn val="ctr"/>
        <c:lblOffset val="100"/>
        <c:noMultiLvlLbl val="0"/>
      </c:catAx>
      <c:spPr>
        <a:noFill/>
        <a:ln w="25400">
          <a:noFill/>
        </a:ln>
      </c:spPr>
    </c:plotArea>
    <c:plotVisOnly val="0"/>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'Question 10'!$B$3</c:f>
              <c:strCache>
                <c:ptCount val="1"/>
                <c:pt idx="0">
                  <c:v>Responses</c:v>
                </c:pt>
              </c:strCache>
            </c:strRef>
          </c:tx>
          <c:spPr>
            <a:solidFill>
              <a:srgbClr val="00BF6F"/>
            </a:solidFill>
            <a:ln>
              <a:prstDash val="solid"/>
            </a:ln>
          </c:spPr>
          <c:invertIfNegative val="0"/>
          <c:cat>
            <c:strRef>
              <c:f>'Question 10'!$A$4:$A$7</c:f>
              <c:strCache>
                <c:ptCount val="4"/>
                <c:pt idx="0">
                  <c:v>I administered the assessment in my own classroom</c:v>
                </c:pt>
                <c:pt idx="1">
                  <c:v>I observed a colleague administering the assessment but the assessment was not piloted in my classroom</c:v>
                </c:pt>
                <c:pt idx="2">
                  <c:v>The assessment my team developed was administered by others, but I was not involved in its administration.</c:v>
                </c:pt>
                <c:pt idx="3">
                  <c:v>My assessment has not been piloted</c:v>
                </c:pt>
              </c:strCache>
            </c:strRef>
          </c:cat>
          <c:val>
            <c:numRef>
              <c:f>'Question 10'!$B$4:$B$7</c:f>
              <c:numCache>
                <c:formatCode>0.00%</c:formatCode>
                <c:ptCount val="4"/>
                <c:pt idx="0">
                  <c:v>0.55559999999999998</c:v>
                </c:pt>
                <c:pt idx="1">
                  <c:v>0.27779999999999999</c:v>
                </c:pt>
                <c:pt idx="2">
                  <c:v>0.16669999999999999</c:v>
                </c:pt>
                <c:pt idx="3">
                  <c:v>0</c:v>
                </c:pt>
              </c:numCache>
            </c:numRef>
          </c:val>
          <c:extLst>
            <c:ext xmlns:c16="http://schemas.microsoft.com/office/drawing/2014/chart" uri="{C3380CC4-5D6E-409C-BE32-E72D297353CC}">
              <c16:uniqueId val="{00000000-751B-E54C-B182-018A121E9688}"/>
            </c:ext>
          </c:extLst>
        </c:ser>
        <c:dLbls>
          <c:showLegendKey val="0"/>
          <c:showVal val="0"/>
          <c:showCatName val="0"/>
          <c:showSerName val="0"/>
          <c:showPercent val="0"/>
          <c:showBubbleSize val="0"/>
        </c:dLbls>
        <c:gapWidth val="150"/>
        <c:axId val="10"/>
        <c:axId val="100"/>
      </c:barChart>
      <c:valAx>
        <c:axId val="100"/>
        <c:scaling>
          <c:orientation val="minMax"/>
          <c:max val="1"/>
        </c:scaling>
        <c:delete val="0"/>
        <c:axPos val="l"/>
        <c:majorGridlines/>
        <c:numFmt formatCode="0.00%" sourceLinked="1"/>
        <c:majorTickMark val="out"/>
        <c:minorTickMark val="none"/>
        <c:tickLblPos val="nextTo"/>
        <c:crossAx val="10"/>
        <c:crosses val="autoZero"/>
        <c:crossBetween val="between"/>
      </c:valAx>
      <c:catAx>
        <c:axId val="10"/>
        <c:scaling>
          <c:orientation val="minMax"/>
        </c:scaling>
        <c:delete val="0"/>
        <c:axPos val="b"/>
        <c:numFmt formatCode="General" sourceLinked="1"/>
        <c:majorTickMark val="out"/>
        <c:minorTickMark val="none"/>
        <c:tickLblPos val="nextTo"/>
        <c:crossAx val="100"/>
        <c:crosses val="autoZero"/>
        <c:auto val="0"/>
        <c:lblAlgn val="ctr"/>
        <c:lblOffset val="100"/>
        <c:noMultiLvlLbl val="0"/>
      </c:catAx>
    </c:plotArea>
    <c:plotVisOnly val="0"/>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3533</Words>
  <Characters>20141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John</dc:creator>
  <cp:keywords/>
  <dc:description/>
  <cp:lastModifiedBy>Linda Wacyk</cp:lastModifiedBy>
  <cp:revision>2</cp:revision>
  <cp:lastPrinted>2023-08-14T18:45:00Z</cp:lastPrinted>
  <dcterms:created xsi:type="dcterms:W3CDTF">2025-10-23T21:21:00Z</dcterms:created>
  <dcterms:modified xsi:type="dcterms:W3CDTF">2025-10-23T21:21:00Z</dcterms:modified>
</cp:coreProperties>
</file>